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612AF2" w:rsidP="004C7868">
            <w:pPr>
              <w:pStyle w:val="FileNumber0"/>
              <w:rPr>
                <w:sz w:val="28"/>
                <w:u w:val="single"/>
                <w:rtl/>
              </w:rPr>
            </w:pPr>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612AF2" w:rsidP="000D13E0">
            <w:pPr>
              <w:pStyle w:val="FileNumber"/>
              <w:rPr>
                <w:sz w:val="28"/>
                <w:szCs w:val="28"/>
              </w:rPr>
            </w:pPr>
            <w:bookmarkStart w:id="0" w:name="casename_body"/>
            <w:bookmarkStart w:id="1" w:name="_GoBack"/>
            <w:r>
              <w:rPr>
                <w:sz w:val="28"/>
                <w:szCs w:val="28"/>
                <w:rtl/>
              </w:rPr>
              <w:t>בג"ץ  3401</w:t>
            </w:r>
            <w:r w:rsidR="000D13E0">
              <w:rPr>
                <w:rFonts w:hint="cs"/>
                <w:sz w:val="28"/>
                <w:szCs w:val="28"/>
                <w:rtl/>
              </w:rPr>
              <w:t>-</w:t>
            </w:r>
            <w:r>
              <w:rPr>
                <w:sz w:val="28"/>
                <w:szCs w:val="28"/>
                <w:rtl/>
              </w:rPr>
              <w:t>24</w:t>
            </w:r>
            <w:bookmarkEnd w:id="1"/>
          </w:p>
        </w:tc>
      </w:tr>
      <w:tr w:rsidR="00612AF2" w:rsidTr="0039709B">
        <w:trPr>
          <w:trHeight w:val="342"/>
        </w:trPr>
        <w:tc>
          <w:tcPr>
            <w:tcW w:w="9828" w:type="dxa"/>
          </w:tcPr>
          <w:p w:rsidR="00612AF2" w:rsidRPr="00810894" w:rsidRDefault="00612AF2">
            <w:pPr>
              <w:pStyle w:val="FileNumber"/>
              <w:rPr>
                <w:sz w:val="28"/>
                <w:szCs w:val="28"/>
              </w:rPr>
            </w:pPr>
            <w:r>
              <w:rPr>
                <w:sz w:val="28"/>
                <w:szCs w:val="28"/>
                <w:rtl/>
              </w:rPr>
              <w:t>בג"ץ  3498/24</w:t>
            </w:r>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612AF2">
            <w:pPr>
              <w:pStyle w:val="BodyRuller"/>
            </w:pPr>
            <w:r>
              <w:rPr>
                <w:rtl/>
              </w:rPr>
              <w:t>כבוד השופט י' עמית</w:t>
            </w:r>
          </w:p>
        </w:tc>
      </w:tr>
      <w:tr w:rsidR="00612AF2" w:rsidTr="00EC23AC">
        <w:trPr>
          <w:trHeight w:val="287"/>
        </w:trPr>
        <w:tc>
          <w:tcPr>
            <w:tcW w:w="3261" w:type="dxa"/>
          </w:tcPr>
          <w:p w:rsidR="00612AF2" w:rsidRDefault="00612AF2">
            <w:pPr>
              <w:pStyle w:val="BodyRuller"/>
              <w:rPr>
                <w:rtl/>
              </w:rPr>
            </w:pPr>
          </w:p>
        </w:tc>
        <w:tc>
          <w:tcPr>
            <w:tcW w:w="5239" w:type="dxa"/>
          </w:tcPr>
          <w:p w:rsidR="00612AF2" w:rsidRDefault="00612AF2">
            <w:pPr>
              <w:pStyle w:val="BodyRuller"/>
              <w:rPr>
                <w:rtl/>
              </w:rPr>
            </w:pPr>
            <w:r>
              <w:rPr>
                <w:rtl/>
              </w:rPr>
              <w:t>כבוד השופט ח' כבוב</w:t>
            </w:r>
          </w:p>
        </w:tc>
      </w:tr>
      <w:tr w:rsidR="00612AF2" w:rsidTr="00EC23AC">
        <w:trPr>
          <w:trHeight w:val="287"/>
        </w:trPr>
        <w:tc>
          <w:tcPr>
            <w:tcW w:w="3261" w:type="dxa"/>
          </w:tcPr>
          <w:p w:rsidR="00612AF2" w:rsidRDefault="00612AF2">
            <w:pPr>
              <w:pStyle w:val="BodyRuller"/>
              <w:rPr>
                <w:rtl/>
              </w:rPr>
            </w:pPr>
          </w:p>
        </w:tc>
        <w:tc>
          <w:tcPr>
            <w:tcW w:w="5239" w:type="dxa"/>
          </w:tcPr>
          <w:p w:rsidR="00612AF2" w:rsidRDefault="00612AF2">
            <w:pPr>
              <w:pStyle w:val="BodyRuller"/>
              <w:rPr>
                <w:rtl/>
              </w:rPr>
            </w:pPr>
            <w:r>
              <w:rPr>
                <w:rtl/>
              </w:rPr>
              <w:t>כבוד השופטת ר' רונן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9F7526" w:rsidTr="0054401C">
        <w:trPr>
          <w:trHeight w:val="287"/>
        </w:trPr>
        <w:tc>
          <w:tcPr>
            <w:tcW w:w="3261" w:type="dxa"/>
          </w:tcPr>
          <w:p w:rsidR="009F7526" w:rsidRDefault="009F7526" w:rsidP="0054401C">
            <w:pPr>
              <w:pStyle w:val="BodyRuller"/>
              <w:rPr>
                <w:rFonts w:ascii="David" w:hAnsi="David"/>
                <w:rtl/>
              </w:rPr>
            </w:pPr>
            <w:r>
              <w:rPr>
                <w:rFonts w:ascii="David" w:hAnsi="David"/>
                <w:rtl/>
              </w:rPr>
              <w:t>העותר</w:t>
            </w:r>
            <w:r>
              <w:rPr>
                <w:rFonts w:ascii="David" w:hAnsi="David" w:hint="cs"/>
                <w:rtl/>
              </w:rPr>
              <w:t>ת בבג"ץ 3401/24</w:t>
            </w:r>
            <w:r>
              <w:rPr>
                <w:rFonts w:ascii="David" w:hAnsi="David"/>
                <w:rtl/>
              </w:rPr>
              <w:t>:</w:t>
            </w:r>
          </w:p>
          <w:p w:rsidR="009F7526" w:rsidRDefault="009F7526" w:rsidP="0054401C">
            <w:pPr>
              <w:pStyle w:val="BodyRuller"/>
              <w:rPr>
                <w:rFonts w:ascii="David" w:hAnsi="David"/>
                <w:rtl/>
              </w:rPr>
            </w:pPr>
          </w:p>
          <w:p w:rsidR="009F7526" w:rsidRPr="00E75223" w:rsidRDefault="009F7526" w:rsidP="0054401C">
            <w:pPr>
              <w:pStyle w:val="BodyRuller"/>
              <w:rPr>
                <w:rFonts w:ascii="David" w:hAnsi="David"/>
              </w:rPr>
            </w:pPr>
            <w:r>
              <w:rPr>
                <w:rFonts w:ascii="David" w:hAnsi="David" w:hint="cs"/>
                <w:rtl/>
              </w:rPr>
              <w:t>העותרת בבג"ץ 3498/24:</w:t>
            </w:r>
          </w:p>
        </w:tc>
        <w:tc>
          <w:tcPr>
            <w:tcW w:w="5239" w:type="dxa"/>
          </w:tcPr>
          <w:p w:rsidR="009F7526" w:rsidRDefault="009F7526" w:rsidP="0054401C">
            <w:pPr>
              <w:pStyle w:val="BodyRuller"/>
              <w:rPr>
                <w:rtl/>
              </w:rPr>
            </w:pPr>
            <w:r>
              <w:rPr>
                <w:rtl/>
              </w:rPr>
              <w:t>בתיה כהנא דרור</w:t>
            </w:r>
          </w:p>
          <w:p w:rsidR="009F7526" w:rsidRDefault="009F7526" w:rsidP="0054401C">
            <w:pPr>
              <w:pStyle w:val="BodyRuller"/>
              <w:rPr>
                <w:rtl/>
              </w:rPr>
            </w:pPr>
          </w:p>
          <w:p w:rsidR="009F7526" w:rsidRDefault="009F7526" w:rsidP="0054401C">
            <w:pPr>
              <w:pStyle w:val="BodyRuller"/>
            </w:pPr>
            <w:r>
              <w:rPr>
                <w:rFonts w:hint="cs"/>
                <w:rtl/>
              </w:rPr>
              <w:t>משמר הדמוקרטיה הישראלית</w:t>
            </w:r>
          </w:p>
        </w:tc>
      </w:tr>
    </w:tbl>
    <w:p w:rsidR="009F7526" w:rsidRDefault="009F7526" w:rsidP="009F7526">
      <w:pPr>
        <w:pStyle w:val="Ruller3"/>
        <w:spacing w:line="240" w:lineRule="auto"/>
      </w:pPr>
    </w:p>
    <w:tbl>
      <w:tblPr>
        <w:bidiVisual/>
        <w:tblW w:w="8363" w:type="dxa"/>
        <w:tblLook w:val="0000" w:firstRow="0" w:lastRow="0" w:firstColumn="0" w:lastColumn="0" w:noHBand="0" w:noVBand="0"/>
      </w:tblPr>
      <w:tblGrid>
        <w:gridCol w:w="3222"/>
        <w:gridCol w:w="5141"/>
      </w:tblGrid>
      <w:tr w:rsidR="009F7526" w:rsidTr="0054401C">
        <w:tc>
          <w:tcPr>
            <w:tcW w:w="3284" w:type="dxa"/>
          </w:tcPr>
          <w:p w:rsidR="009F7526" w:rsidRDefault="009F7526" w:rsidP="0054401C">
            <w:pPr>
              <w:pStyle w:val="BodyRuller"/>
            </w:pPr>
          </w:p>
        </w:tc>
        <w:tc>
          <w:tcPr>
            <w:tcW w:w="5238" w:type="dxa"/>
          </w:tcPr>
          <w:p w:rsidR="009F7526" w:rsidRDefault="009F7526" w:rsidP="0054401C">
            <w:pPr>
              <w:pStyle w:val="BodyRuller"/>
            </w:pPr>
            <w:r>
              <w:rPr>
                <w:rFonts w:hint="cs"/>
                <w:rtl/>
              </w:rPr>
              <w:t>נ</w:t>
            </w:r>
            <w:r>
              <w:t xml:space="preserve">  </w:t>
            </w:r>
            <w:r>
              <w:rPr>
                <w:rFonts w:hint="cs"/>
                <w:rtl/>
              </w:rPr>
              <w:t>ג</w:t>
            </w:r>
            <w:r>
              <w:t xml:space="preserve">  </w:t>
            </w:r>
            <w:r>
              <w:rPr>
                <w:rFonts w:hint="cs"/>
                <w:rtl/>
              </w:rPr>
              <w:t>ד</w:t>
            </w:r>
          </w:p>
        </w:tc>
      </w:tr>
    </w:tbl>
    <w:p w:rsidR="009F7526" w:rsidRDefault="009F7526" w:rsidP="009F7526">
      <w:pPr>
        <w:pStyle w:val="Ruller3"/>
        <w:spacing w:line="240" w:lineRule="auto"/>
        <w:rPr>
          <w:rtl/>
        </w:rPr>
      </w:pPr>
    </w:p>
    <w:tbl>
      <w:tblPr>
        <w:bidiVisual/>
        <w:tblW w:w="8364" w:type="dxa"/>
        <w:tblLayout w:type="fixed"/>
        <w:tblLook w:val="0000" w:firstRow="0" w:lastRow="0" w:firstColumn="0" w:lastColumn="0" w:noHBand="0" w:noVBand="0"/>
      </w:tblPr>
      <w:tblGrid>
        <w:gridCol w:w="3210"/>
        <w:gridCol w:w="5154"/>
      </w:tblGrid>
      <w:tr w:rsidR="009F7526" w:rsidTr="0054401C">
        <w:trPr>
          <w:trHeight w:val="287"/>
        </w:trPr>
        <w:tc>
          <w:tcPr>
            <w:tcW w:w="3261" w:type="dxa"/>
          </w:tcPr>
          <w:p w:rsidR="009F7526" w:rsidRPr="00E75223" w:rsidRDefault="009F7526" w:rsidP="0054401C">
            <w:pPr>
              <w:pStyle w:val="BodyRuller"/>
              <w:rPr>
                <w:rFonts w:ascii="David" w:hAnsi="David"/>
              </w:rPr>
            </w:pPr>
            <w:r>
              <w:rPr>
                <w:rFonts w:ascii="David" w:hAnsi="David"/>
                <w:rtl/>
              </w:rPr>
              <w:t>המשיבים</w:t>
            </w:r>
            <w:r>
              <w:rPr>
                <w:rFonts w:ascii="David" w:hAnsi="David" w:hint="cs"/>
                <w:rtl/>
              </w:rPr>
              <w:t xml:space="preserve"> בבג"ץ 3401/24</w:t>
            </w:r>
            <w:r>
              <w:rPr>
                <w:rFonts w:ascii="David" w:hAnsi="David"/>
                <w:rtl/>
              </w:rPr>
              <w:t>:</w:t>
            </w:r>
          </w:p>
        </w:tc>
        <w:tc>
          <w:tcPr>
            <w:tcW w:w="5239" w:type="dxa"/>
          </w:tcPr>
          <w:p w:rsidR="009F7526" w:rsidRDefault="009F7526" w:rsidP="0054401C">
            <w:pPr>
              <w:pStyle w:val="BodyRuller"/>
            </w:pPr>
            <w:r>
              <w:rPr>
                <w:rtl/>
              </w:rPr>
              <w:t>1. שר החינוך</w:t>
            </w:r>
          </w:p>
        </w:tc>
      </w:tr>
      <w:tr w:rsidR="009F7526" w:rsidTr="0054401C">
        <w:trPr>
          <w:trHeight w:val="287"/>
        </w:trPr>
        <w:tc>
          <w:tcPr>
            <w:tcW w:w="3261" w:type="dxa"/>
          </w:tcPr>
          <w:p w:rsidR="009F7526" w:rsidRDefault="009F7526" w:rsidP="0054401C">
            <w:pPr>
              <w:pStyle w:val="BodyRuller"/>
              <w:rPr>
                <w:rFonts w:ascii="David" w:hAnsi="David"/>
                <w:rtl/>
              </w:rPr>
            </w:pPr>
          </w:p>
        </w:tc>
        <w:tc>
          <w:tcPr>
            <w:tcW w:w="5239" w:type="dxa"/>
          </w:tcPr>
          <w:p w:rsidR="009F7526" w:rsidRDefault="009F7526" w:rsidP="00655671">
            <w:pPr>
              <w:pStyle w:val="BodyRuller"/>
              <w:jc w:val="both"/>
              <w:rPr>
                <w:rtl/>
              </w:rPr>
            </w:pPr>
            <w:r>
              <w:rPr>
                <w:rtl/>
              </w:rPr>
              <w:t>2. חברי ועדת הפרס בתחום ספרות ומשפט עברי</w:t>
            </w:r>
          </w:p>
          <w:p w:rsidR="00655671" w:rsidRDefault="00655671" w:rsidP="0054401C">
            <w:pPr>
              <w:pStyle w:val="BodyRuller"/>
              <w:rPr>
                <w:rtl/>
              </w:rPr>
            </w:pPr>
            <w:r>
              <w:rPr>
                <w:rFonts w:hint="cs"/>
                <w:rtl/>
              </w:rPr>
              <w:t xml:space="preserve">    הרב פרופ' אברהם שטיינברג</w:t>
            </w:r>
          </w:p>
          <w:p w:rsidR="00655671" w:rsidRDefault="00655671" w:rsidP="0054401C">
            <w:pPr>
              <w:pStyle w:val="BodyRuller"/>
              <w:rPr>
                <w:rtl/>
              </w:rPr>
            </w:pPr>
            <w:r>
              <w:rPr>
                <w:rFonts w:hint="cs"/>
                <w:rtl/>
              </w:rPr>
              <w:t xml:space="preserve">    גב' רחל </w:t>
            </w:r>
            <w:proofErr w:type="spellStart"/>
            <w:r>
              <w:rPr>
                <w:rFonts w:hint="cs"/>
                <w:rtl/>
              </w:rPr>
              <w:t>סילבצקי</w:t>
            </w:r>
            <w:proofErr w:type="spellEnd"/>
          </w:p>
          <w:p w:rsidR="00655671" w:rsidRDefault="00655671" w:rsidP="0054401C">
            <w:pPr>
              <w:pStyle w:val="BodyRuller"/>
              <w:rPr>
                <w:rtl/>
              </w:rPr>
            </w:pPr>
            <w:r>
              <w:rPr>
                <w:rFonts w:hint="cs"/>
                <w:rtl/>
              </w:rPr>
              <w:t xml:space="preserve">    הרב פרופ' יגאל שפרן</w:t>
            </w:r>
          </w:p>
        </w:tc>
      </w:tr>
      <w:tr w:rsidR="009F7526" w:rsidTr="0054401C">
        <w:trPr>
          <w:trHeight w:val="287"/>
        </w:trPr>
        <w:tc>
          <w:tcPr>
            <w:tcW w:w="3261" w:type="dxa"/>
          </w:tcPr>
          <w:p w:rsidR="009F7526" w:rsidRDefault="009F7526" w:rsidP="0054401C">
            <w:pPr>
              <w:pStyle w:val="BodyRuller"/>
              <w:rPr>
                <w:rFonts w:ascii="David" w:hAnsi="David"/>
                <w:rtl/>
              </w:rPr>
            </w:pPr>
          </w:p>
        </w:tc>
        <w:tc>
          <w:tcPr>
            <w:tcW w:w="5239" w:type="dxa"/>
          </w:tcPr>
          <w:p w:rsidR="009F7526" w:rsidRDefault="009F7526" w:rsidP="0054401C">
            <w:pPr>
              <w:pStyle w:val="BodyRuller"/>
              <w:rPr>
                <w:rtl/>
              </w:rPr>
            </w:pPr>
            <w:r>
              <w:rPr>
                <w:rtl/>
              </w:rPr>
              <w:t>3. היועצת המשפטית לממשלה</w:t>
            </w:r>
          </w:p>
        </w:tc>
      </w:tr>
      <w:tr w:rsidR="009F7526" w:rsidTr="0054401C">
        <w:trPr>
          <w:trHeight w:val="287"/>
        </w:trPr>
        <w:tc>
          <w:tcPr>
            <w:tcW w:w="3261" w:type="dxa"/>
          </w:tcPr>
          <w:p w:rsidR="009F7526" w:rsidRDefault="009F7526" w:rsidP="0054401C">
            <w:pPr>
              <w:pStyle w:val="BodyRuller"/>
              <w:rPr>
                <w:rFonts w:ascii="David" w:hAnsi="David"/>
                <w:rtl/>
              </w:rPr>
            </w:pPr>
          </w:p>
          <w:p w:rsidR="009F7526" w:rsidRDefault="009F7526" w:rsidP="0054401C">
            <w:pPr>
              <w:pStyle w:val="BodyRuller"/>
              <w:rPr>
                <w:rFonts w:ascii="David" w:hAnsi="David"/>
                <w:rtl/>
              </w:rPr>
            </w:pPr>
          </w:p>
          <w:p w:rsidR="009F7526" w:rsidRDefault="009F7526" w:rsidP="0054401C">
            <w:pPr>
              <w:pStyle w:val="BodyRuller"/>
              <w:rPr>
                <w:rFonts w:ascii="David" w:hAnsi="David"/>
                <w:rtl/>
              </w:rPr>
            </w:pPr>
            <w:r>
              <w:rPr>
                <w:rFonts w:ascii="David" w:hAnsi="David" w:hint="cs"/>
                <w:rtl/>
              </w:rPr>
              <w:t>המשיבים בבג"ץ 3498/24:</w:t>
            </w:r>
          </w:p>
        </w:tc>
        <w:tc>
          <w:tcPr>
            <w:tcW w:w="5239" w:type="dxa"/>
          </w:tcPr>
          <w:p w:rsidR="009F7526" w:rsidRDefault="009F7526" w:rsidP="009D4CB6">
            <w:pPr>
              <w:pStyle w:val="BodyRuller"/>
              <w:rPr>
                <w:rtl/>
              </w:rPr>
            </w:pPr>
            <w:r>
              <w:rPr>
                <w:rtl/>
              </w:rPr>
              <w:t xml:space="preserve">4. הרב </w:t>
            </w:r>
            <w:r w:rsidR="009D4CB6">
              <w:rPr>
                <w:rFonts w:hint="cs"/>
                <w:rtl/>
              </w:rPr>
              <w:t>יצחק יוסף</w:t>
            </w:r>
          </w:p>
          <w:p w:rsidR="009F7526" w:rsidRDefault="009F7526" w:rsidP="0054401C">
            <w:pPr>
              <w:pStyle w:val="BodyRuller"/>
              <w:rPr>
                <w:rtl/>
              </w:rPr>
            </w:pPr>
          </w:p>
          <w:p w:rsidR="009F7526" w:rsidRDefault="009F7526" w:rsidP="0054401C">
            <w:pPr>
              <w:pStyle w:val="BodyRuller"/>
              <w:rPr>
                <w:rtl/>
              </w:rPr>
            </w:pPr>
            <w:r>
              <w:rPr>
                <w:rFonts w:hint="cs"/>
                <w:rtl/>
              </w:rPr>
              <w:t>1. שר החינוך</w:t>
            </w:r>
          </w:p>
          <w:p w:rsidR="009F7526" w:rsidRDefault="009F7526" w:rsidP="0054401C">
            <w:pPr>
              <w:pStyle w:val="BodyRuller"/>
              <w:jc w:val="both"/>
              <w:rPr>
                <w:rtl/>
              </w:rPr>
            </w:pPr>
            <w:r>
              <w:rPr>
                <w:rFonts w:hint="cs"/>
                <w:rtl/>
              </w:rPr>
              <w:t>2. ועדת השופטים להענקת פרס ישראל לשנת תשפ"ד בתחום הספרות התורנית וחקר המשפט העברי</w:t>
            </w:r>
          </w:p>
          <w:p w:rsidR="009F7526" w:rsidRDefault="009F7526" w:rsidP="0054401C">
            <w:pPr>
              <w:pStyle w:val="BodyRuller"/>
              <w:jc w:val="both"/>
              <w:rPr>
                <w:rtl/>
              </w:rPr>
            </w:pPr>
            <w:r>
              <w:rPr>
                <w:rFonts w:hint="cs"/>
                <w:rtl/>
              </w:rPr>
              <w:t>3. הרב יצחק יוסף</w:t>
            </w:r>
          </w:p>
        </w:tc>
      </w:tr>
    </w:tbl>
    <w:p w:rsidR="009F7526" w:rsidRDefault="009F7526" w:rsidP="009F7526">
      <w:pPr>
        <w:pStyle w:val="Ruller3"/>
        <w:spacing w:line="240" w:lineRule="auto"/>
      </w:pPr>
    </w:p>
    <w:tbl>
      <w:tblPr>
        <w:bidiVisual/>
        <w:tblW w:w="0" w:type="auto"/>
        <w:tblInd w:w="3209" w:type="dxa"/>
        <w:tblLook w:val="0000" w:firstRow="0" w:lastRow="0" w:firstColumn="0" w:lastColumn="0" w:noHBand="0" w:noVBand="0"/>
      </w:tblPr>
      <w:tblGrid>
        <w:gridCol w:w="5103"/>
      </w:tblGrid>
      <w:tr w:rsidR="009F7526" w:rsidTr="0054401C">
        <w:tc>
          <w:tcPr>
            <w:tcW w:w="5103" w:type="dxa"/>
          </w:tcPr>
          <w:p w:rsidR="009F7526" w:rsidRPr="00265F6E" w:rsidRDefault="00E8786C" w:rsidP="0054401C">
            <w:pPr>
              <w:pStyle w:val="BodyRuller"/>
              <w:rPr>
                <w:sz w:val="24"/>
                <w:szCs w:val="24"/>
              </w:rPr>
            </w:pPr>
            <w:r>
              <w:rPr>
                <w:rFonts w:hint="cs"/>
                <w:sz w:val="24"/>
                <w:szCs w:val="24"/>
                <w:rtl/>
              </w:rPr>
              <w:t xml:space="preserve">התנגדות לצו על תנאי </w:t>
            </w:r>
          </w:p>
        </w:tc>
      </w:tr>
    </w:tbl>
    <w:p w:rsidR="009F7526" w:rsidRDefault="009F7526" w:rsidP="009F7526">
      <w:pPr>
        <w:pStyle w:val="Ruller3"/>
        <w:spacing w:line="240" w:lineRule="auto"/>
        <w:rPr>
          <w:rtl/>
        </w:rPr>
      </w:pPr>
    </w:p>
    <w:p w:rsidR="009F7526" w:rsidRPr="0014625F" w:rsidRDefault="009F7526" w:rsidP="0014625F">
      <w:pPr>
        <w:pStyle w:val="Ruller38"/>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4846"/>
        <w:gridCol w:w="287"/>
      </w:tblGrid>
      <w:tr w:rsidR="009F7526" w:rsidRPr="0014625F" w:rsidTr="00020A2A">
        <w:tc>
          <w:tcPr>
            <w:tcW w:w="3230" w:type="dxa"/>
            <w:tcBorders>
              <w:top w:val="nil"/>
              <w:left w:val="nil"/>
              <w:bottom w:val="nil"/>
              <w:right w:val="nil"/>
            </w:tcBorders>
          </w:tcPr>
          <w:p w:rsidR="009F7526" w:rsidRPr="0014625F" w:rsidRDefault="009F7526" w:rsidP="00020A2A">
            <w:pPr>
              <w:pStyle w:val="BodyRuller"/>
              <w:rPr>
                <w:sz w:val="24"/>
                <w:szCs w:val="24"/>
              </w:rPr>
            </w:pPr>
            <w:r w:rsidRPr="0014625F">
              <w:rPr>
                <w:sz w:val="24"/>
                <w:szCs w:val="24"/>
                <w:rtl/>
              </w:rPr>
              <w:t>תאריך הישיבה:</w:t>
            </w:r>
          </w:p>
        </w:tc>
        <w:tc>
          <w:tcPr>
            <w:tcW w:w="4846" w:type="dxa"/>
            <w:tcBorders>
              <w:top w:val="nil"/>
              <w:left w:val="nil"/>
              <w:bottom w:val="nil"/>
              <w:right w:val="nil"/>
            </w:tcBorders>
          </w:tcPr>
          <w:p w:rsidR="009F7526" w:rsidRPr="0014625F" w:rsidRDefault="009F7526" w:rsidP="00432E99">
            <w:pPr>
              <w:pStyle w:val="BodyRuller"/>
              <w:rPr>
                <w:rtl/>
              </w:rPr>
            </w:pPr>
            <w:r w:rsidRPr="0014625F">
              <w:rPr>
                <w:rFonts w:hint="cs"/>
                <w:sz w:val="24"/>
                <w:szCs w:val="24"/>
                <w:rtl/>
              </w:rPr>
              <w:t xml:space="preserve">כ"ח בניסן </w:t>
            </w:r>
            <w:proofErr w:type="spellStart"/>
            <w:r w:rsidRPr="0014625F">
              <w:rPr>
                <w:sz w:val="24"/>
                <w:szCs w:val="24"/>
                <w:rtl/>
              </w:rPr>
              <w:t>התשפ"ד</w:t>
            </w:r>
            <w:proofErr w:type="spellEnd"/>
            <w:r w:rsidRPr="0014625F">
              <w:rPr>
                <w:sz w:val="24"/>
                <w:szCs w:val="24"/>
                <w:rtl/>
              </w:rPr>
              <w:t xml:space="preserve"> (</w:t>
            </w:r>
            <w:r w:rsidRPr="0014625F">
              <w:rPr>
                <w:rFonts w:hint="cs"/>
                <w:sz w:val="24"/>
                <w:szCs w:val="24"/>
                <w:rtl/>
              </w:rPr>
              <w:t>6</w:t>
            </w:r>
            <w:r w:rsidRPr="0014625F">
              <w:rPr>
                <w:sz w:val="24"/>
                <w:szCs w:val="24"/>
                <w:rtl/>
              </w:rPr>
              <w:t>.</w:t>
            </w:r>
            <w:r w:rsidRPr="0014625F">
              <w:rPr>
                <w:rFonts w:hint="cs"/>
                <w:sz w:val="24"/>
                <w:szCs w:val="24"/>
                <w:rtl/>
              </w:rPr>
              <w:t>5</w:t>
            </w:r>
            <w:r w:rsidRPr="0014625F">
              <w:rPr>
                <w:sz w:val="24"/>
                <w:szCs w:val="24"/>
                <w:rtl/>
              </w:rPr>
              <w:t>.</w:t>
            </w:r>
            <w:r w:rsidRPr="0014625F">
              <w:rPr>
                <w:rFonts w:hint="cs"/>
                <w:sz w:val="24"/>
                <w:szCs w:val="24"/>
                <w:rtl/>
              </w:rPr>
              <w:t>2024</w:t>
            </w:r>
            <w:r w:rsidRPr="0014625F">
              <w:rPr>
                <w:sz w:val="24"/>
                <w:szCs w:val="24"/>
                <w:rtl/>
              </w:rPr>
              <w:t>)</w:t>
            </w:r>
          </w:p>
        </w:tc>
        <w:tc>
          <w:tcPr>
            <w:tcW w:w="287" w:type="dxa"/>
            <w:tcBorders>
              <w:top w:val="nil"/>
              <w:left w:val="nil"/>
              <w:bottom w:val="nil"/>
              <w:right w:val="nil"/>
            </w:tcBorders>
          </w:tcPr>
          <w:p w:rsidR="009F7526" w:rsidRPr="0014625F" w:rsidRDefault="009F7526" w:rsidP="00020A2A">
            <w:pPr>
              <w:pStyle w:val="BodyRuller"/>
              <w:rPr>
                <w:sz w:val="24"/>
                <w:szCs w:val="24"/>
                <w:rtl/>
              </w:rPr>
            </w:pPr>
          </w:p>
        </w:tc>
      </w:tr>
    </w:tbl>
    <w:p w:rsidR="009F7526" w:rsidRDefault="009F7526" w:rsidP="009F7526">
      <w:pPr>
        <w:pStyle w:val="Ruller3"/>
        <w:spacing w:line="240" w:lineRule="auto"/>
        <w:rPr>
          <w:rtl/>
        </w:rPr>
      </w:pPr>
      <w:r>
        <w:rPr>
          <w:rFonts w:hint="cs"/>
          <w:rtl/>
        </w:rPr>
        <w:t xml:space="preserve"> </w:t>
      </w:r>
    </w:p>
    <w:p w:rsidR="009F7526" w:rsidRDefault="00E8786C" w:rsidP="009F7526">
      <w:pPr>
        <w:pStyle w:val="Ruller3"/>
        <w:spacing w:line="240" w:lineRule="auto"/>
        <w:rPr>
          <w:rtl/>
        </w:rPr>
      </w:pPr>
      <w:r>
        <w:rPr>
          <w:rtl/>
        </w:rPr>
        <w:tab/>
      </w:r>
      <w:r w:rsidR="009F7526">
        <w:rPr>
          <w:rtl/>
        </w:rPr>
        <w:tab/>
      </w:r>
    </w:p>
    <w:tbl>
      <w:tblPr>
        <w:bidiVisual/>
        <w:tblW w:w="0" w:type="auto"/>
        <w:tblLook w:val="0000" w:firstRow="0" w:lastRow="0" w:firstColumn="0" w:lastColumn="0" w:noHBand="0" w:noVBand="0"/>
      </w:tblPr>
      <w:tblGrid>
        <w:gridCol w:w="3213"/>
        <w:gridCol w:w="5099"/>
      </w:tblGrid>
      <w:tr w:rsidR="00E8786C" w:rsidRPr="0062713D" w:rsidTr="00602CBD">
        <w:tc>
          <w:tcPr>
            <w:tcW w:w="3284" w:type="dxa"/>
          </w:tcPr>
          <w:p w:rsidR="00E8786C" w:rsidRDefault="00E8786C" w:rsidP="00E8786C">
            <w:pPr>
              <w:spacing w:line="360" w:lineRule="auto"/>
              <w:rPr>
                <w:sz w:val="26"/>
                <w:szCs w:val="26"/>
                <w:rtl/>
              </w:rPr>
            </w:pPr>
            <w:r w:rsidRPr="0062713D">
              <w:rPr>
                <w:rFonts w:hint="cs"/>
                <w:sz w:val="26"/>
                <w:szCs w:val="26"/>
                <w:rtl/>
              </w:rPr>
              <w:t xml:space="preserve">בשם </w:t>
            </w:r>
            <w:r>
              <w:rPr>
                <w:rFonts w:hint="cs"/>
                <w:sz w:val="26"/>
                <w:szCs w:val="26"/>
                <w:rtl/>
              </w:rPr>
              <w:t>העותרת בבג"ץ 3401/24</w:t>
            </w:r>
            <w:r w:rsidRPr="0062713D">
              <w:rPr>
                <w:rFonts w:hint="cs"/>
                <w:sz w:val="26"/>
                <w:szCs w:val="26"/>
                <w:rtl/>
              </w:rPr>
              <w:t>:</w:t>
            </w:r>
          </w:p>
          <w:p w:rsidR="00E8786C" w:rsidRPr="0062713D" w:rsidRDefault="00E8786C" w:rsidP="00E8786C">
            <w:pPr>
              <w:spacing w:line="360" w:lineRule="auto"/>
              <w:rPr>
                <w:sz w:val="26"/>
                <w:szCs w:val="26"/>
                <w:rtl/>
              </w:rPr>
            </w:pPr>
            <w:r>
              <w:rPr>
                <w:rFonts w:hint="cs"/>
                <w:sz w:val="26"/>
                <w:szCs w:val="26"/>
                <w:rtl/>
              </w:rPr>
              <w:t>בשם העותרת בבג"ץ 3498/24:</w:t>
            </w:r>
          </w:p>
          <w:p w:rsidR="00E8786C" w:rsidRDefault="00E8786C" w:rsidP="005529FF">
            <w:pPr>
              <w:spacing w:line="360" w:lineRule="auto"/>
              <w:rPr>
                <w:sz w:val="26"/>
                <w:szCs w:val="26"/>
                <w:rtl/>
              </w:rPr>
            </w:pPr>
            <w:r w:rsidRPr="0062713D">
              <w:rPr>
                <w:rFonts w:hint="cs"/>
                <w:sz w:val="26"/>
                <w:szCs w:val="26"/>
                <w:rtl/>
              </w:rPr>
              <w:t>בשם המשיב</w:t>
            </w:r>
            <w:r>
              <w:rPr>
                <w:rFonts w:hint="cs"/>
                <w:sz w:val="26"/>
                <w:szCs w:val="26"/>
                <w:rtl/>
              </w:rPr>
              <w:t>ים 3-1 בבג"ץ 3401/24 והמשיבים 2-1 בבג"ץ 3498/24:</w:t>
            </w:r>
          </w:p>
          <w:p w:rsidR="00E8786C" w:rsidRPr="0062713D" w:rsidRDefault="00E8786C" w:rsidP="00E8786C">
            <w:pPr>
              <w:spacing w:line="360" w:lineRule="auto"/>
              <w:rPr>
                <w:sz w:val="26"/>
                <w:szCs w:val="26"/>
              </w:rPr>
            </w:pPr>
            <w:r>
              <w:rPr>
                <w:rFonts w:hint="cs"/>
                <w:sz w:val="26"/>
                <w:szCs w:val="26"/>
                <w:rtl/>
              </w:rPr>
              <w:t>בשם המשיב 4 בבג"ץ 3401/24 והמשיב 3 בבג"ץ 3498/24:</w:t>
            </w:r>
          </w:p>
        </w:tc>
        <w:tc>
          <w:tcPr>
            <w:tcW w:w="5238" w:type="dxa"/>
          </w:tcPr>
          <w:p w:rsidR="00E8786C" w:rsidRPr="0062713D" w:rsidRDefault="00E8786C" w:rsidP="005B7FD9">
            <w:pPr>
              <w:spacing w:line="360" w:lineRule="auto"/>
              <w:rPr>
                <w:sz w:val="26"/>
                <w:szCs w:val="26"/>
                <w:rtl/>
              </w:rPr>
            </w:pPr>
            <w:r>
              <w:rPr>
                <w:rFonts w:hint="cs"/>
                <w:sz w:val="26"/>
                <w:szCs w:val="26"/>
                <w:rtl/>
              </w:rPr>
              <w:t>בעצמה</w:t>
            </w:r>
          </w:p>
          <w:p w:rsidR="00E8786C" w:rsidRDefault="00E8786C" w:rsidP="005B7FD9">
            <w:pPr>
              <w:spacing w:line="360" w:lineRule="auto"/>
              <w:rPr>
                <w:sz w:val="26"/>
                <w:szCs w:val="26"/>
                <w:rtl/>
              </w:rPr>
            </w:pPr>
            <w:r w:rsidRPr="0062713D">
              <w:rPr>
                <w:rFonts w:hint="cs"/>
                <w:sz w:val="26"/>
                <w:szCs w:val="26"/>
                <w:rtl/>
              </w:rPr>
              <w:t xml:space="preserve">עו"ד </w:t>
            </w:r>
            <w:r>
              <w:rPr>
                <w:rFonts w:hint="cs"/>
                <w:sz w:val="26"/>
                <w:szCs w:val="26"/>
                <w:rtl/>
              </w:rPr>
              <w:t xml:space="preserve">יובל יועז; עו"ד אוהד שפק; עו"ד רינה </w:t>
            </w:r>
            <w:proofErr w:type="spellStart"/>
            <w:r>
              <w:rPr>
                <w:rFonts w:hint="cs"/>
                <w:sz w:val="26"/>
                <w:szCs w:val="26"/>
                <w:rtl/>
              </w:rPr>
              <w:t>ענתי</w:t>
            </w:r>
            <w:proofErr w:type="spellEnd"/>
          </w:p>
          <w:p w:rsidR="00E8786C" w:rsidRDefault="00E8786C" w:rsidP="005B7FD9">
            <w:pPr>
              <w:spacing w:line="360" w:lineRule="auto"/>
              <w:rPr>
                <w:sz w:val="26"/>
                <w:szCs w:val="26"/>
                <w:rtl/>
              </w:rPr>
            </w:pPr>
          </w:p>
          <w:p w:rsidR="00E8786C" w:rsidRDefault="00E8786C" w:rsidP="005B7FD9">
            <w:pPr>
              <w:spacing w:line="360" w:lineRule="auto"/>
              <w:rPr>
                <w:sz w:val="26"/>
                <w:szCs w:val="26"/>
                <w:rtl/>
              </w:rPr>
            </w:pPr>
          </w:p>
          <w:p w:rsidR="00E8786C" w:rsidRDefault="00E8786C" w:rsidP="005B7FD9">
            <w:pPr>
              <w:spacing w:line="360" w:lineRule="auto"/>
              <w:rPr>
                <w:sz w:val="26"/>
                <w:szCs w:val="26"/>
                <w:rtl/>
              </w:rPr>
            </w:pPr>
            <w:r>
              <w:rPr>
                <w:rFonts w:hint="cs"/>
                <w:sz w:val="26"/>
                <w:szCs w:val="26"/>
                <w:rtl/>
              </w:rPr>
              <w:t xml:space="preserve">עו"ד יונתן </w:t>
            </w:r>
            <w:proofErr w:type="spellStart"/>
            <w:r>
              <w:rPr>
                <w:rFonts w:hint="cs"/>
                <w:sz w:val="26"/>
                <w:szCs w:val="26"/>
                <w:rtl/>
              </w:rPr>
              <w:t>נד"ב</w:t>
            </w:r>
            <w:proofErr w:type="spellEnd"/>
          </w:p>
          <w:p w:rsidR="00E8786C" w:rsidRDefault="00E8786C" w:rsidP="005B7FD9">
            <w:pPr>
              <w:spacing w:line="360" w:lineRule="auto"/>
              <w:rPr>
                <w:sz w:val="26"/>
                <w:szCs w:val="26"/>
                <w:rtl/>
              </w:rPr>
            </w:pPr>
          </w:p>
          <w:p w:rsidR="00E8786C" w:rsidRPr="0062713D" w:rsidRDefault="00E8786C" w:rsidP="005B7FD9">
            <w:pPr>
              <w:spacing w:line="360" w:lineRule="auto"/>
              <w:rPr>
                <w:sz w:val="26"/>
                <w:szCs w:val="26"/>
              </w:rPr>
            </w:pPr>
            <w:r>
              <w:rPr>
                <w:rFonts w:hint="cs"/>
                <w:sz w:val="26"/>
                <w:szCs w:val="26"/>
                <w:rtl/>
              </w:rPr>
              <w:t>אין התייצבות</w:t>
            </w:r>
          </w:p>
        </w:tc>
      </w:tr>
    </w:tbl>
    <w:p w:rsidR="009F7526" w:rsidRDefault="00E8786C" w:rsidP="009F7526">
      <w:pPr>
        <w:tabs>
          <w:tab w:val="left" w:pos="2552"/>
        </w:tabs>
      </w:pPr>
      <w:r>
        <w:rPr>
          <w:rFonts w:hint="cs"/>
          <w:rtl/>
        </w:rPr>
        <w:t xml:space="preserve"> </w:t>
      </w:r>
    </w:p>
    <w:p w:rsidR="009F7526" w:rsidRDefault="009F7526">
      <w:pPr>
        <w:pStyle w:val="Ruller3"/>
        <w:rPr>
          <w:rFonts w:cs="Miriam"/>
          <w:b/>
          <w:bCs/>
          <w:u w:val="single"/>
          <w:rtl/>
        </w:rPr>
      </w:pPr>
    </w:p>
    <w:tbl>
      <w:tblPr>
        <w:bidiVisual/>
        <w:tblW w:w="8363" w:type="dxa"/>
        <w:tblLook w:val="0000" w:firstRow="0" w:lastRow="0" w:firstColumn="0" w:lastColumn="0" w:noHBand="0" w:noVBand="0"/>
      </w:tblPr>
      <w:tblGrid>
        <w:gridCol w:w="8363"/>
      </w:tblGrid>
      <w:tr w:rsidR="00036227" w:rsidTr="009F7526">
        <w:tc>
          <w:tcPr>
            <w:tcW w:w="8363" w:type="dxa"/>
          </w:tcPr>
          <w:p w:rsidR="00916FF8" w:rsidRDefault="00612AF2">
            <w:pPr>
              <w:pStyle w:val="DocumentHead"/>
            </w:pPr>
            <w:bookmarkStart w:id="2" w:name="secretary"/>
            <w:bookmarkStart w:id="3" w:name="BeginProtocol"/>
            <w:bookmarkEnd w:id="2"/>
            <w:bookmarkEnd w:id="3"/>
            <w:r>
              <w:rPr>
                <w:rtl/>
              </w:rPr>
              <w:lastRenderedPageBreak/>
              <w:t>פסק-דין</w:t>
            </w:r>
          </w:p>
        </w:tc>
      </w:tr>
    </w:tbl>
    <w:p w:rsidR="0065522F" w:rsidRDefault="0065522F">
      <w:pPr>
        <w:pStyle w:val="BODYVERDICT"/>
      </w:pPr>
    </w:p>
    <w:p w:rsidR="00916FF8" w:rsidRDefault="00612AF2">
      <w:pPr>
        <w:pStyle w:val="BODYVERDICT"/>
        <w:rPr>
          <w:rFonts w:cs="Miriam"/>
          <w:sz w:val="24"/>
          <w:szCs w:val="24"/>
          <w:u w:val="single"/>
          <w:rtl/>
        </w:rPr>
      </w:pPr>
      <w:bookmarkStart w:id="4" w:name="Writer_Name"/>
      <w:bookmarkEnd w:id="4"/>
      <w:r>
        <w:rPr>
          <w:rFonts w:cs="Miriam"/>
          <w:sz w:val="24"/>
          <w:szCs w:val="24"/>
          <w:u w:val="single"/>
          <w:rtl/>
        </w:rPr>
        <w:t>השופט י' עמית:</w:t>
      </w:r>
    </w:p>
    <w:p w:rsidR="00655671" w:rsidRPr="00055079" w:rsidRDefault="00655671" w:rsidP="00055079">
      <w:pPr>
        <w:pStyle w:val="Ruller41"/>
        <w:rPr>
          <w:rFonts w:ascii="Century" w:hAnsi="Century"/>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w:t>
      </w:r>
      <w:r w:rsidRPr="007C3DF4">
        <w:rPr>
          <w:rFonts w:ascii="FrankRuehl" w:hAnsi="FrankRuehl" w:cs="FrankRuehl"/>
          <w:color w:val="000000"/>
          <w:spacing w:val="10"/>
          <w:sz w:val="28"/>
          <w:szCs w:val="28"/>
          <w:rtl/>
        </w:rPr>
        <w:t>עומדות רגלינו כמעט ערב יום העצמאות ושוב נדרשים אנו, בבחינת ריטואל חוזר ונשנה, לעסוק בפרס ישראל. אכן, יש להצר על כך שפרס כה יוקרתי ובעל מוניטין ואירוע מאחד ומרומם לב כמו טקס פרס ישראל, הופך כמעט באופן קבוע למקור מחלוקת ופילוג</w:t>
      </w:r>
      <w:r w:rsidRPr="007C3DF4">
        <w:rPr>
          <w:rFonts w:ascii="FrankRuehl" w:hAnsi="FrankRuehl" w:cs="FrankRuehl" w:hint="cs"/>
          <w:color w:val="000000"/>
          <w:spacing w:val="10"/>
          <w:sz w:val="28"/>
          <w:szCs w:val="28"/>
          <w:rtl/>
        </w:rPr>
        <w:t>" (</w:t>
      </w:r>
      <w:r w:rsidRPr="007C3DF4">
        <w:rPr>
          <w:rFonts w:ascii="Century" w:hAnsi="Century" w:cs="FrankRuehl"/>
          <w:spacing w:val="10"/>
          <w:sz w:val="22"/>
          <w:szCs w:val="28"/>
          <w:rtl/>
        </w:rPr>
        <w:t>בג</w:t>
      </w:r>
      <w:r w:rsidRPr="007C3DF4">
        <w:rPr>
          <w:rFonts w:ascii="Century" w:hAnsi="Century" w:cs="FrankRuehl" w:hint="cs"/>
          <w:spacing w:val="10"/>
          <w:sz w:val="22"/>
          <w:szCs w:val="28"/>
          <w:rtl/>
        </w:rPr>
        <w:t>"</w:t>
      </w:r>
      <w:r w:rsidRPr="007C3DF4">
        <w:rPr>
          <w:rFonts w:ascii="Century" w:hAnsi="Century" w:cs="FrankRuehl"/>
          <w:spacing w:val="10"/>
          <w:sz w:val="22"/>
          <w:szCs w:val="28"/>
          <w:rtl/>
        </w:rPr>
        <w:t xml:space="preserve">ץ 2199/21 </w:t>
      </w:r>
      <w:r w:rsidRPr="007C3DF4">
        <w:rPr>
          <w:rFonts w:ascii="Century" w:hAnsi="Century" w:cs="Miriam"/>
          <w:b/>
          <w:sz w:val="22"/>
          <w:rtl/>
        </w:rPr>
        <w:t>ועדת השופטים להענקת פרס ישראל לשנת תשפ"א בתחום חקר המתמטיקה, חדר מדעי המחשב נ' שר החינוך</w:t>
      </w:r>
      <w:r w:rsidRPr="007C3DF4">
        <w:rPr>
          <w:rFonts w:ascii="Century" w:hAnsi="Century" w:cs="FrankRuehl" w:hint="cs"/>
          <w:spacing w:val="10"/>
          <w:sz w:val="22"/>
          <w:szCs w:val="28"/>
          <w:rtl/>
        </w:rPr>
        <w:t xml:space="preserve">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8.4.2021</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(להלן: </w:t>
      </w:r>
      <w:r w:rsidRPr="007C3DF4">
        <w:rPr>
          <w:rFonts w:ascii="Century" w:hAnsi="Century" w:cs="Miriam" w:hint="cs"/>
          <w:b/>
          <w:sz w:val="22"/>
          <w:rtl/>
        </w:rPr>
        <w:t xml:space="preserve">החלטת הביניים בעניין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Arial TUR" w:hAnsi="Arial TUR" w:cs="FrankRuehl" w:hint="cs"/>
          <w:spacing w:val="10"/>
          <w:sz w:val="22"/>
          <w:szCs w:val="28"/>
          <w:rtl/>
        </w:rPr>
        <w:t xml:space="preserve">)).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כאז כן עתה, נדרשים אנו לשתי עתירות שעניינן הענקת פרס ישראל לשנת תשפ"ד בתחום ספרות תורנית ומשפט עברי למשיב 4 בבג"ץ 3401/24 והמשיב 3 בבג"ץ 3498/24, הרב יצחק יוסף </w:t>
      </w:r>
      <w:r w:rsidRPr="007C3DF4">
        <w:rPr>
          <w:rFonts w:ascii="FrankRuehl" w:hAnsi="FrankRuehl" w:cs="FrankRuehl" w:hint="cs"/>
          <w:color w:val="000000"/>
          <w:spacing w:val="10"/>
          <w:sz w:val="28"/>
          <w:szCs w:val="28"/>
          <w:rtl/>
        </w:rPr>
        <w:t xml:space="preserve">(להלן: </w:t>
      </w:r>
      <w:r w:rsidRPr="007C3DF4">
        <w:rPr>
          <w:rFonts w:ascii="Century" w:hAnsi="Century" w:cs="Miriam" w:hint="cs"/>
          <w:b/>
          <w:sz w:val="22"/>
          <w:rtl/>
        </w:rPr>
        <w:t>הרב יוסף</w:t>
      </w:r>
      <w:r w:rsidRPr="007C3DF4">
        <w:rPr>
          <w:rFonts w:ascii="FrankRuehl" w:hAnsi="FrankRuehl" w:cs="FrankRuehl" w:hint="cs"/>
          <w:color w:val="000000"/>
          <w:spacing w:val="10"/>
          <w:sz w:val="28"/>
          <w:szCs w:val="28"/>
          <w:rtl/>
        </w:rPr>
        <w:t xml:space="preserve"> או </w:t>
      </w:r>
      <w:r w:rsidRPr="007C3DF4">
        <w:rPr>
          <w:rFonts w:ascii="Century" w:hAnsi="Century" w:cs="Miriam" w:hint="cs"/>
          <w:b/>
          <w:sz w:val="22"/>
          <w:rtl/>
        </w:rPr>
        <w:t>המשיב</w:t>
      </w:r>
      <w:r w:rsidRPr="007C3DF4">
        <w:rPr>
          <w:rFonts w:ascii="FrankRuehl" w:hAnsi="FrankRuehl" w:cs="FrankRuehl" w:hint="cs"/>
          <w:color w:val="000000"/>
          <w:spacing w:val="10"/>
          <w:sz w:val="28"/>
          <w:szCs w:val="28"/>
          <w:rtl/>
        </w:rPr>
        <w:t>).</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רקע עובדתי</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1.</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הענקת פרסי ישראל נערכת בשנה זו בצילה הכבד של מלחמת "חרבות ברזל". עודנו כואבים ואבלים את מאורעות השבת השחורה; חיילנו מחרפים נפשם ונלחמים ברצועת עזה ובגבול הצפון; הנפגעים בגוף ובנפש עוד מחלימים מפציעותיהם; </w:t>
      </w:r>
      <w:proofErr w:type="spellStart"/>
      <w:r w:rsidRPr="007C3DF4">
        <w:rPr>
          <w:rFonts w:ascii="FrankRuehl" w:hAnsi="FrankRuehl" w:cs="FrankRuehl" w:hint="cs"/>
          <w:color w:val="000000"/>
          <w:spacing w:val="10"/>
          <w:sz w:val="28"/>
          <w:szCs w:val="28"/>
          <w:rtl/>
        </w:rPr>
        <w:t>וחטופינו</w:t>
      </w:r>
      <w:proofErr w:type="spellEnd"/>
      <w:r w:rsidRPr="007C3DF4">
        <w:rPr>
          <w:rFonts w:ascii="FrankRuehl" w:hAnsi="FrankRuehl" w:cs="FrankRuehl" w:hint="cs"/>
          <w:color w:val="000000"/>
          <w:spacing w:val="10"/>
          <w:sz w:val="28"/>
          <w:szCs w:val="28"/>
          <w:rtl/>
        </w:rPr>
        <w:t xml:space="preserve"> לא שבו כולם לביתם. בימים אלו אנו מציינים את יום הזיכרון לשואה ולגבורה, יום הזיכרון לחללי מערכות ישראל ויום העצמאות ה-76 למדינת ישראל, ואלו יישאו בשנה זו משמעות שונה ואחרת.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2.</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ביום 26.12.2023 מינה שר החינוך (להלן: </w:t>
      </w:r>
      <w:r w:rsidRPr="007C3DF4">
        <w:rPr>
          <w:rFonts w:ascii="Century" w:hAnsi="Century" w:cs="Miriam" w:hint="cs"/>
          <w:b/>
          <w:sz w:val="22"/>
          <w:rtl/>
        </w:rPr>
        <w:t>השר</w:t>
      </w:r>
      <w:r w:rsidRPr="007C3DF4">
        <w:rPr>
          <w:rFonts w:ascii="FrankRuehl" w:hAnsi="FrankRuehl" w:cs="FrankRuehl" w:hint="cs"/>
          <w:color w:val="000000"/>
          <w:spacing w:val="10"/>
          <w:sz w:val="28"/>
          <w:szCs w:val="28"/>
          <w:rtl/>
        </w:rPr>
        <w:t xml:space="preserve">) את חברי ועדת השופטים להענקת הפרס בתחום ספרות תורנית ומשפט עברי לשנת תשפ"ד (להלן: </w:t>
      </w:r>
      <w:r w:rsidRPr="007C3DF4">
        <w:rPr>
          <w:rFonts w:ascii="Century" w:hAnsi="Century" w:cs="Miriam" w:hint="cs"/>
          <w:b/>
          <w:sz w:val="22"/>
          <w:rtl/>
        </w:rPr>
        <w:t>הוועדה</w:t>
      </w:r>
      <w:r w:rsidRPr="007C3DF4">
        <w:rPr>
          <w:rFonts w:ascii="FrankRuehl" w:hAnsi="FrankRuehl" w:cs="FrankRuehl" w:hint="cs"/>
          <w:color w:val="000000"/>
          <w:spacing w:val="10"/>
          <w:sz w:val="28"/>
          <w:szCs w:val="28"/>
          <w:rtl/>
        </w:rPr>
        <w:t xml:space="preserve"> או </w:t>
      </w:r>
      <w:r w:rsidRPr="007C3DF4">
        <w:rPr>
          <w:rFonts w:ascii="Century" w:hAnsi="Century" w:cs="Miriam" w:hint="cs"/>
          <w:b/>
          <w:sz w:val="22"/>
          <w:rtl/>
        </w:rPr>
        <w:t>ועדת השופטים</w:t>
      </w:r>
      <w:r w:rsidRPr="007C3DF4">
        <w:rPr>
          <w:rFonts w:ascii="FrankRuehl" w:hAnsi="FrankRuehl" w:cs="FrankRuehl" w:hint="cs"/>
          <w:color w:val="000000"/>
          <w:spacing w:val="10"/>
          <w:sz w:val="28"/>
          <w:szCs w:val="28"/>
          <w:rtl/>
        </w:rPr>
        <w:t>): יו"ר הוועדה, הרב פרופ' אברהם שטיינברג (אשר עמד גם בראש ועדת השופטים שבחרה את הרב יעקב אריאל כזוכה בפרס ישראל</w:t>
      </w:r>
      <w:r w:rsidRPr="007C3DF4">
        <w:rPr>
          <w:rFonts w:ascii="FrankRuehl" w:hAnsi="FrankRuehl" w:cs="FrankRuehl"/>
          <w:color w:val="000000"/>
          <w:spacing w:val="10"/>
          <w:sz w:val="28"/>
          <w:szCs w:val="28"/>
          <w:rtl/>
        </w:rPr>
        <w:t xml:space="preserve"> </w:t>
      </w:r>
      <w:r w:rsidRPr="007C3DF4">
        <w:rPr>
          <w:rFonts w:ascii="FrankRuehl" w:hAnsi="FrankRuehl" w:cs="FrankRuehl" w:hint="cs"/>
          <w:color w:val="000000"/>
          <w:spacing w:val="10"/>
          <w:sz w:val="28"/>
          <w:szCs w:val="28"/>
          <w:rtl/>
        </w:rPr>
        <w:t>בתחום זה ב</w:t>
      </w:r>
      <w:r w:rsidRPr="007C3DF4">
        <w:rPr>
          <w:rFonts w:ascii="FrankRuehl" w:hAnsi="FrankRuehl" w:cs="FrankRuehl"/>
          <w:color w:val="000000"/>
          <w:spacing w:val="10"/>
          <w:sz w:val="28"/>
          <w:szCs w:val="28"/>
          <w:rtl/>
        </w:rPr>
        <w:t xml:space="preserve">שנת </w:t>
      </w:r>
      <w:proofErr w:type="spellStart"/>
      <w:r w:rsidRPr="007C3DF4">
        <w:rPr>
          <w:rFonts w:ascii="FrankRuehl" w:hAnsi="FrankRuehl" w:cs="FrankRuehl"/>
          <w:color w:val="000000"/>
          <w:spacing w:val="10"/>
          <w:sz w:val="28"/>
          <w:szCs w:val="28"/>
          <w:rtl/>
        </w:rPr>
        <w:t>תש"ף</w:t>
      </w:r>
      <w:proofErr w:type="spellEnd"/>
      <w:r w:rsidRPr="007C3DF4">
        <w:rPr>
          <w:rFonts w:ascii="FrankRuehl" w:hAnsi="FrankRuehl" w:cs="FrankRuehl" w:hint="cs"/>
          <w:color w:val="000000"/>
          <w:spacing w:val="10"/>
          <w:sz w:val="28"/>
          <w:szCs w:val="28"/>
          <w:rtl/>
        </w:rPr>
        <w:t xml:space="preserve">), וחברי הוועדה הגברת רחל </w:t>
      </w:r>
      <w:proofErr w:type="spellStart"/>
      <w:r w:rsidRPr="007C3DF4">
        <w:rPr>
          <w:rFonts w:ascii="FrankRuehl" w:hAnsi="FrankRuehl" w:cs="FrankRuehl" w:hint="cs"/>
          <w:color w:val="000000"/>
          <w:spacing w:val="10"/>
          <w:sz w:val="28"/>
          <w:szCs w:val="28"/>
          <w:rtl/>
        </w:rPr>
        <w:t>סילבצקי</w:t>
      </w:r>
      <w:proofErr w:type="spellEnd"/>
      <w:r w:rsidRPr="007C3DF4">
        <w:rPr>
          <w:rFonts w:ascii="FrankRuehl" w:hAnsi="FrankRuehl" w:cs="FrankRuehl" w:hint="cs"/>
          <w:color w:val="000000"/>
          <w:spacing w:val="10"/>
          <w:sz w:val="28"/>
          <w:szCs w:val="28"/>
          <w:rtl/>
        </w:rPr>
        <w:t xml:space="preserve"> והרב פרופ' יגאל שפרן. ביום 1.2.2024 המליצו חברי הוועדה פה אחד להעניק את הפרס לרב יוסף, המכהן משנת 2013 כרב הראשי לישראל (וכהונתו הוארכה בשל המצב </w:t>
      </w:r>
      <w:proofErr w:type="spellStart"/>
      <w:r w:rsidRPr="007C3DF4">
        <w:rPr>
          <w:rFonts w:ascii="FrankRuehl" w:hAnsi="FrankRuehl" w:cs="FrankRuehl" w:hint="cs"/>
          <w:color w:val="000000"/>
          <w:spacing w:val="10"/>
          <w:sz w:val="28"/>
          <w:szCs w:val="28"/>
          <w:rtl/>
        </w:rPr>
        <w:t>הבטחוני</w:t>
      </w:r>
      <w:proofErr w:type="spellEnd"/>
      <w:r w:rsidRPr="007C3DF4">
        <w:rPr>
          <w:rFonts w:ascii="FrankRuehl" w:hAnsi="FrankRuehl" w:cs="FrankRuehl" w:hint="cs"/>
          <w:color w:val="000000"/>
          <w:spacing w:val="10"/>
          <w:sz w:val="28"/>
          <w:szCs w:val="28"/>
          <w:rtl/>
        </w:rPr>
        <w:t xml:space="preserve"> ודחיית הבחירות לרשויות המקומיות). במסגרת תפקידו, ובהתאם להוראת </w:t>
      </w:r>
      <w:r w:rsidRPr="00234F26">
        <w:rPr>
          <w:rFonts w:ascii="Century" w:hAnsi="Century" w:cs="FrankRuehl" w:hint="cs"/>
          <w:spacing w:val="10"/>
          <w:sz w:val="22"/>
          <w:szCs w:val="28"/>
          <w:rtl/>
        </w:rPr>
        <w:t>סעיף 17(א) ל</w:t>
      </w:r>
      <w:r w:rsidRPr="00234F26">
        <w:rPr>
          <w:rFonts w:ascii="Century" w:hAnsi="Century" w:cs="FrankRuehl"/>
          <w:spacing w:val="10"/>
          <w:sz w:val="22"/>
          <w:szCs w:val="28"/>
          <w:rtl/>
        </w:rPr>
        <w:t xml:space="preserve">חוק הרבנות הראשית לישראל, </w:t>
      </w:r>
      <w:r w:rsidRPr="00234F26">
        <w:rPr>
          <w:rFonts w:ascii="Century" w:hAnsi="Century" w:cs="FrankRuehl" w:hint="cs"/>
          <w:spacing w:val="10"/>
          <w:sz w:val="22"/>
          <w:szCs w:val="28"/>
          <w:rtl/>
        </w:rPr>
        <w:t>ה</w:t>
      </w:r>
      <w:r w:rsidRPr="00234F26">
        <w:rPr>
          <w:rFonts w:ascii="Century" w:hAnsi="Century" w:cs="FrankRuehl"/>
          <w:spacing w:val="10"/>
          <w:sz w:val="22"/>
          <w:szCs w:val="28"/>
          <w:rtl/>
        </w:rPr>
        <w:t>תש"ם-1980</w:t>
      </w:r>
      <w:r w:rsidRPr="00234F26">
        <w:rPr>
          <w:rFonts w:ascii="Century" w:hAnsi="Century" w:cs="FrankRuehl" w:hint="cs"/>
          <w:spacing w:val="10"/>
          <w:sz w:val="22"/>
          <w:szCs w:val="28"/>
          <w:rtl/>
        </w:rPr>
        <w:t xml:space="preserve">, הרב יוסף </w:t>
      </w:r>
      <w:r w:rsidRPr="007C3DF4">
        <w:rPr>
          <w:rFonts w:ascii="FrankRuehl" w:hAnsi="FrankRuehl" w:cs="FrankRuehl" w:hint="cs"/>
          <w:color w:val="000000"/>
          <w:spacing w:val="10"/>
          <w:sz w:val="28"/>
          <w:szCs w:val="28"/>
          <w:rtl/>
        </w:rPr>
        <w:t>כיהן במחצית הראשונה לכהונתו כנשיא בית הדין הרבני הגדול ובמחצית השנייה לכהונתו הוא מכהן כנשיא מועצת הרבנות הראשית ודיין בבית הדין הרבני הגדול.</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3.</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בנימוקי הוועדה, כפי שנחתמו על ידי חבריה ביום 1.2.2024, צוינה סדרת ספרות תורנית מקיפה שכתב הרב בשם "ילקוט יוסף", וכן ספרי שאלות ותשובות שכתב במגוון רחב של תחומים עכשוויי</w:t>
      </w:r>
      <w:r w:rsidRPr="007C3DF4">
        <w:rPr>
          <w:rFonts w:ascii="FrankRuehl" w:hAnsi="FrankRuehl" w:cs="FrankRuehl" w:hint="eastAsia"/>
          <w:color w:val="000000"/>
          <w:spacing w:val="10"/>
          <w:sz w:val="28"/>
          <w:szCs w:val="28"/>
          <w:rtl/>
        </w:rPr>
        <w:t>ם</w:t>
      </w:r>
      <w:r w:rsidRPr="007C3DF4">
        <w:rPr>
          <w:rFonts w:ascii="FrankRuehl" w:hAnsi="FrankRuehl" w:cs="FrankRuehl" w:hint="cs"/>
          <w:color w:val="000000"/>
          <w:spacing w:val="10"/>
          <w:sz w:val="28"/>
          <w:szCs w:val="28"/>
          <w:rtl/>
        </w:rPr>
        <w:t>. הוועדה נימקה את בחירתה ברב יוסף בכך ש"ההיקף העצום והאיכות המיוחדת של הכתיבה התורנית מעמידים את הרב יוסף בשורה אחת עם גדולי הפוסקים בדורות האחרונים. הספרות התורנית של הרב יוסף משפיעה רבות על כל הציבור שומר המצוות בארץ ובעולם". בנימוקים מפורטים שהועברו לממונה על פרס ישראל במשרד החינוך ביום 14.2.2024, הרחיבו חברי הוועדה על אודות פועלו של הרב יוסף, ואביא את החלטת הוועדה במלואה:</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"החלטת הוועדה לפרס ישראל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ספרות תורנית ליוצרים</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הוועדה החליטה פה אחד להעניק את הפרס בקטגוריה ספרות תורנית ליוצרים לשנת תשפ"ד לראשון לציון הרב הראשי לישראל הרב יצחק יוסף </w:t>
      </w:r>
      <w:proofErr w:type="spellStart"/>
      <w:r w:rsidRPr="007C3DF4">
        <w:rPr>
          <w:rFonts w:ascii="Arial TUR" w:hAnsi="Arial TUR" w:cs="FrankRuehl" w:hint="cs"/>
          <w:spacing w:val="10"/>
          <w:sz w:val="22"/>
          <w:szCs w:val="28"/>
          <w:rtl/>
        </w:rPr>
        <w:t>שליט"א</w:t>
      </w:r>
      <w:proofErr w:type="spellEnd"/>
      <w:r w:rsidRPr="007C3DF4">
        <w:rPr>
          <w:rFonts w:ascii="Arial TUR" w:hAnsi="Arial TUR" w:cs="FrankRuehl" w:hint="cs"/>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מפעל-היחיד המונומנטלי של הרב יצחק יוסף הינו סדרת ספריו 'ילקוט יוסף'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למעלה מ-40 כרכים גדושים בהלכות בכל שטחי החיים הנוהגים בימינו, כולל נושאים מגוונים ומורכבים שהתחדשו בשנים האחרונות, עד ימנו אלה. היצירה התורנית של הרב יצחק יוסף כוללת את כל ההלכות הנוגעות לאדם מישראל מרגע קומו משנתו ועד הליכתו לשינה, הלכות הנוגעות לימי החול, לשבתות ולכל המועדים והצומות, הלכות הנוגעות לאירועי שמחה ולאירועי עצב, לכשרות המזון, לאישות ומשפחה, לתפילות </w:t>
      </w:r>
      <w:proofErr w:type="spellStart"/>
      <w:r w:rsidRPr="007C3DF4">
        <w:rPr>
          <w:rFonts w:ascii="Arial TUR" w:hAnsi="Arial TUR" w:cs="FrankRuehl" w:hint="cs"/>
          <w:spacing w:val="10"/>
          <w:sz w:val="22"/>
          <w:szCs w:val="28"/>
          <w:rtl/>
        </w:rPr>
        <w:t>ולכהנים</w:t>
      </w:r>
      <w:proofErr w:type="spellEnd"/>
      <w:r w:rsidRPr="007C3DF4">
        <w:rPr>
          <w:rFonts w:ascii="Arial TUR" w:hAnsi="Arial TUR" w:cs="FrankRuehl" w:hint="cs"/>
          <w:spacing w:val="10"/>
          <w:sz w:val="22"/>
          <w:szCs w:val="28"/>
          <w:rtl/>
        </w:rPr>
        <w:t xml:space="preserve">, ולנושאים הלכתיים אחרים.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מדובר בחיבור המקיף ביותר בכל נושאי ההלכה בימינו, ובכלל זה נושאים חדישים בתחומי הטכנולוגיה וההלכה, רפואה והלכה, כלכלה והלכה ועוד.</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כמו כן עוסק הרב יוסף גם בנושאים רעיוניים ומחשבתיים, וכן בכללי פסיקה ושיטות לימוד התורה וההלכה.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הטקסט ההלכתי כתוב בשפה ברורה, בתמצות יחד עם דיוק </w:t>
      </w:r>
      <w:proofErr w:type="spellStart"/>
      <w:r w:rsidRPr="007C3DF4">
        <w:rPr>
          <w:rFonts w:ascii="Arial TUR" w:hAnsi="Arial TUR" w:cs="FrankRuehl" w:hint="cs"/>
          <w:spacing w:val="10"/>
          <w:sz w:val="22"/>
          <w:szCs w:val="28"/>
          <w:rtl/>
        </w:rPr>
        <w:t>מירבי</w:t>
      </w:r>
      <w:proofErr w:type="spellEnd"/>
      <w:r w:rsidRPr="007C3DF4">
        <w:rPr>
          <w:rFonts w:ascii="Arial TUR" w:hAnsi="Arial TUR" w:cs="FrankRuehl" w:hint="cs"/>
          <w:spacing w:val="10"/>
          <w:sz w:val="22"/>
          <w:szCs w:val="28"/>
          <w:rtl/>
        </w:rPr>
        <w:t>, ובסגנון בהיר ומובן השווה לכל נפש. כאן הראה הרב יוסף את כוחו בפסיקת ההלכה ובהפצתה לכל דורש. כל סעיף מלווה בהערות מרחיבות, בדיונים הלכתיים מעמיקים ומקיפים, ובמראי מקומות תוך בקיאות מפליאה בכל מה שנכתב באותו עניין בספרות ההלכתית מהתלמוד, הגאונים, הראשונים, האחרונים ועד לרבני דורנו. בכך הראה הרב יוסף את כוחו הלמדני והמעמיק לתועלת תלמידי חכמים העוסקים בפסיקת הלכה למעשה.</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הרב יצחק יוסף לא נח על שמריו, אלא ההדיר, הוסיף והשלים הלכות והערות למכביר במהדורות מחודשות ומעודכנות של סדר[ת] ספריו 'ילקוט יוסף'.</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זכה הרב יוסף שסדרת ספריו נפוצה מאד בישראל ובעולם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בישיבות, בבתי המדרש, בבתי הכנסת, בספריות הכלליות והאקדמיות, ובבתים פרטיים. הפופולריות והחשיבות הרבה של סדרת ילקוט יוסף באה לידי ביטוי גם בעובדה שהיא תורגמה לשמונה שפות, מצב תקדימי בספרות התורנית.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spacing w:val="10"/>
          <w:sz w:val="28"/>
          <w:szCs w:val="28"/>
          <w:rtl/>
        </w:rPr>
        <w:t xml:space="preserve">הרב יוסף בקי היטב בספרות התורנית של הרבנים הספרדיים והן בספרות התורנית של הרבנים האשכנזים, ובכך מתייחדת הספרות התורנית הלכתית שלו כמאגדת את תורתם של כל הפוסקים מכל העדות ומכל המגזרים. </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hint="cs"/>
          <w:spacing w:val="10"/>
          <w:sz w:val="28"/>
          <w:szCs w:val="28"/>
          <w:rtl/>
        </w:rPr>
        <w:t xml:space="preserve">יתר על כן, היבול התורני של הרב יצחק יוסף איננו מוגבל רק לסדרה המונומנטלית 'ילקוט יוסף'. הרב חיבר עשרות חיבורים תורניים נוספים, ובהם שו"ת הראשון לציון, ביאורים על הגדה של פסח, כללי הגיור וגירות כהלכה, אוצר דינים לאישה ולבת, קיצור שולחן ערוך ילקוט יוסף, דיני חינוך קטן ובר-מצווה, כיבוד אב ואם, עין יצחק, שולחן המערכת, סידור חזון עובדיה, ועוד רבים. </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Pr>
      </w:pPr>
      <w:r w:rsidRPr="007C3DF4">
        <w:rPr>
          <w:rFonts w:ascii="FrankRuehl" w:hAnsi="FrankRuehl" w:cs="FrankRuehl" w:hint="cs"/>
          <w:spacing w:val="10"/>
          <w:sz w:val="28"/>
          <w:szCs w:val="28"/>
          <w:rtl/>
        </w:rPr>
        <w:t xml:space="preserve">פרסומיו התורניים מעמידים את הרב יצחק יוסף בשורה אחת עם גדולי הפוסקים של הדורות האחרונים. </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spacing w:val="10"/>
          <w:sz w:val="28"/>
          <w:szCs w:val="28"/>
          <w:rtl/>
        </w:rPr>
        <w:t>בנוסף לתרומתו העצומה לספרות התורנית עוסק הרב יוסף גם בחינוך ובהפצת התורה לשכבות אוכלוסייה רבות ומגוונות. הוא עמד בראש ישיבת חזון עובדיה, ומוסר שיעורי תורה והלכה במסגרות ציבוריות שונות.</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spacing w:val="10"/>
          <w:sz w:val="28"/>
          <w:szCs w:val="28"/>
          <w:rtl/>
        </w:rPr>
        <w:t>מאז שנת 2013 משמש הרב יצחק יוסף כראשון לציון הרב הראשי לישראל ונשיא בית הדין הרבני הגדול. גם במסגרת זו מפעלו התורני בא לידי ביטוי באופן מרשים ביותר.</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spacing w:val="10"/>
          <w:sz w:val="28"/>
          <w:szCs w:val="28"/>
          <w:rtl/>
        </w:rPr>
        <w:t>בפרט רואים אנו להדגיש את משקלם הסגולי הגבוה של תשובותיו ופסיקותיו ההלכתיות החשובות של הרב יוסף בכל התחומים התורניים המורכבים שנבעו מהמלחמה האחרונה. נושא כאוב זה בא לידי ביטוי הן בתשובות תורניות כתובות, והן בהנחיות מנומקות בעל פה ביריעה רחבה. תרומתו של הרב יצחק יוסף בנושא זה לא תסולא בפז.</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r w:rsidRPr="007C3DF4">
        <w:rPr>
          <w:rFonts w:ascii="FrankRuehl" w:hAnsi="FrankRuehl" w:cs="FrankRuehl"/>
          <w:spacing w:val="10"/>
          <w:sz w:val="28"/>
          <w:szCs w:val="28"/>
          <w:rtl/>
        </w:rPr>
        <w:t xml:space="preserve">על כל אלה החליטה הוועדה פה אחד להמליץ לשר החינוך להעניק לרב יצחק יוסף </w:t>
      </w:r>
      <w:proofErr w:type="spellStart"/>
      <w:r w:rsidRPr="007C3DF4">
        <w:rPr>
          <w:rFonts w:ascii="FrankRuehl" w:hAnsi="FrankRuehl" w:cs="FrankRuehl"/>
          <w:spacing w:val="10"/>
          <w:sz w:val="28"/>
          <w:szCs w:val="28"/>
          <w:rtl/>
        </w:rPr>
        <w:t>שליט"א</w:t>
      </w:r>
      <w:proofErr w:type="spellEnd"/>
      <w:r w:rsidRPr="007C3DF4">
        <w:rPr>
          <w:rFonts w:ascii="FrankRuehl" w:hAnsi="FrankRuehl" w:cs="FrankRuehl"/>
          <w:spacing w:val="10"/>
          <w:sz w:val="28"/>
          <w:szCs w:val="28"/>
          <w:rtl/>
        </w:rPr>
        <w:t xml:space="preserve"> את פרס ישראל</w:t>
      </w:r>
      <w:r w:rsidRPr="007C3DF4">
        <w:rPr>
          <w:rFonts w:ascii="FrankRuehl" w:hAnsi="FrankRuehl" w:cs="FrankRuehl" w:hint="cs"/>
          <w:spacing w:val="10"/>
          <w:sz w:val="28"/>
          <w:szCs w:val="28"/>
          <w:rtl/>
        </w:rPr>
        <w:t xml:space="preserve"> בקטגוריה של ספרות תורנית ליוצרים לשנת תשפ"ד</w:t>
      </w:r>
      <w:r w:rsidRPr="007C3DF4">
        <w:rPr>
          <w:rFonts w:ascii="FrankRuehl" w:hAnsi="FrankRuehl" w:cs="FrankRuehl"/>
          <w:spacing w:val="10"/>
          <w:sz w:val="28"/>
          <w:szCs w:val="28"/>
          <w:rtl/>
        </w:rPr>
        <w:t>"</w:t>
      </w:r>
      <w:r w:rsidRPr="007C3DF4">
        <w:rPr>
          <w:rFonts w:ascii="FrankRuehl" w:hAnsi="FrankRuehl" w:cs="FrankRuehl" w:hint="cs"/>
          <w:spacing w:val="10"/>
          <w:sz w:val="28"/>
          <w:szCs w:val="28"/>
          <w:rtl/>
        </w:rPr>
        <w:t>.</w:t>
      </w: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ind w:left="1644" w:right="1276"/>
        <w:jc w:val="both"/>
        <w:rPr>
          <w:rFonts w:ascii="FrankRuehl" w:hAnsi="FrankRuehl" w:cs="FrankRuehl"/>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4.</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במהלך חודש פברואר הודיע השר כי בשל המלחמה, יוענק השנה פרס ישראל רק בתחום הצלה וגבורה אזרחית ובתחום ערבות הדדית, וכי הענקת הפרסים שאינם קשורים לנושאים אלה תידחה לשנה הבאה. בעקבות עתירות שהוגשו כנגד החלטה זו, חזר בו השר מהחלטתו והליכי בחירת הזוכים על ידי ועדות השופטים חודשו (</w:t>
      </w:r>
      <w:r w:rsidRPr="007C3DF4">
        <w:rPr>
          <w:rFonts w:ascii="FrankRuehl" w:hAnsi="FrankRuehl" w:cs="FrankRuehl" w:hint="eastAsia"/>
          <w:color w:val="000000"/>
          <w:spacing w:val="10"/>
          <w:sz w:val="28"/>
          <w:szCs w:val="28"/>
          <w:rtl/>
        </w:rPr>
        <w:t>בג</w:t>
      </w:r>
      <w:r w:rsidRPr="007C3DF4">
        <w:rPr>
          <w:rFonts w:ascii="FrankRuehl" w:hAnsi="FrankRuehl" w:cs="FrankRuehl"/>
          <w:color w:val="000000"/>
          <w:spacing w:val="10"/>
          <w:sz w:val="28"/>
          <w:szCs w:val="28"/>
          <w:rtl/>
        </w:rPr>
        <w:t>"</w:t>
      </w:r>
      <w:r w:rsidRPr="007C3DF4">
        <w:rPr>
          <w:rFonts w:ascii="FrankRuehl" w:hAnsi="FrankRuehl" w:cs="FrankRuehl" w:hint="eastAsia"/>
          <w:color w:val="000000"/>
          <w:spacing w:val="10"/>
          <w:sz w:val="28"/>
          <w:szCs w:val="28"/>
          <w:rtl/>
        </w:rPr>
        <w:t>ץ</w:t>
      </w:r>
      <w:r w:rsidRPr="007C3DF4">
        <w:rPr>
          <w:rFonts w:ascii="FrankRuehl" w:hAnsi="FrankRuehl" w:cs="FrankRuehl"/>
          <w:color w:val="000000"/>
          <w:spacing w:val="10"/>
          <w:sz w:val="28"/>
          <w:szCs w:val="28"/>
          <w:rtl/>
        </w:rPr>
        <w:t xml:space="preserve"> 1651/24 </w:t>
      </w:r>
      <w:r w:rsidRPr="007C3DF4">
        <w:rPr>
          <w:rFonts w:ascii="Century" w:hAnsi="Century" w:cs="Miriam" w:hint="eastAsia"/>
          <w:b/>
          <w:sz w:val="22"/>
          <w:rtl/>
        </w:rPr>
        <w:t>בן</w:t>
      </w:r>
      <w:r w:rsidRPr="007C3DF4">
        <w:rPr>
          <w:rFonts w:ascii="Century" w:hAnsi="Century" w:cs="Miriam"/>
          <w:b/>
          <w:sz w:val="22"/>
          <w:rtl/>
        </w:rPr>
        <w:t xml:space="preserve"> </w:t>
      </w:r>
      <w:r w:rsidRPr="007C3DF4">
        <w:rPr>
          <w:rFonts w:ascii="Century" w:hAnsi="Century" w:cs="Miriam" w:hint="eastAsia"/>
          <w:b/>
          <w:sz w:val="22"/>
          <w:rtl/>
        </w:rPr>
        <w:t>מאיר</w:t>
      </w:r>
      <w:r w:rsidRPr="007C3DF4">
        <w:rPr>
          <w:rFonts w:ascii="Century" w:hAnsi="Century" w:cs="Miriam"/>
          <w:b/>
          <w:sz w:val="22"/>
          <w:rtl/>
        </w:rPr>
        <w:t xml:space="preserve"> </w:t>
      </w:r>
      <w:r w:rsidRPr="007C3DF4">
        <w:rPr>
          <w:rFonts w:ascii="Century" w:hAnsi="Century" w:cs="Miriam" w:hint="eastAsia"/>
          <w:b/>
          <w:sz w:val="22"/>
          <w:rtl/>
        </w:rPr>
        <w:t>נ</w:t>
      </w:r>
      <w:r w:rsidRPr="007C3DF4">
        <w:rPr>
          <w:rFonts w:ascii="Century" w:hAnsi="Century" w:cs="Miriam"/>
          <w:b/>
          <w:sz w:val="22"/>
          <w:rtl/>
        </w:rPr>
        <w:t xml:space="preserve">' </w:t>
      </w:r>
      <w:r w:rsidRPr="007C3DF4">
        <w:rPr>
          <w:rFonts w:ascii="Century" w:hAnsi="Century" w:cs="Miriam" w:hint="eastAsia"/>
          <w:b/>
          <w:sz w:val="22"/>
          <w:rtl/>
        </w:rPr>
        <w:t>שר</w:t>
      </w:r>
      <w:r w:rsidRPr="007C3DF4">
        <w:rPr>
          <w:rFonts w:ascii="Century" w:hAnsi="Century" w:cs="Miriam"/>
          <w:b/>
          <w:sz w:val="22"/>
          <w:rtl/>
        </w:rPr>
        <w:t xml:space="preserve"> </w:t>
      </w:r>
      <w:r w:rsidRPr="007C3DF4">
        <w:rPr>
          <w:rFonts w:ascii="Century" w:hAnsi="Century" w:cs="Miriam" w:hint="eastAsia"/>
          <w:b/>
          <w:sz w:val="22"/>
          <w:rtl/>
        </w:rPr>
        <w:t>החינוך</w:t>
      </w:r>
      <w:r w:rsidRPr="007C3DF4">
        <w:rPr>
          <w:rFonts w:ascii="FrankRuehl" w:hAnsi="FrankRuehl" w:cs="FrankRuehl"/>
          <w:color w:val="000000"/>
          <w:spacing w:val="10"/>
          <w:sz w:val="28"/>
          <w:szCs w:val="28"/>
          <w:rtl/>
        </w:rPr>
        <w:t xml:space="preserve"> (14.</w:t>
      </w:r>
      <w:r w:rsidRPr="007C3DF4">
        <w:rPr>
          <w:rFonts w:ascii="FrankRuehl" w:hAnsi="FrankRuehl" w:cs="FrankRuehl" w:hint="cs"/>
          <w:color w:val="000000"/>
          <w:spacing w:val="10"/>
          <w:sz w:val="28"/>
          <w:szCs w:val="28"/>
          <w:rtl/>
        </w:rPr>
        <w:t>3</w:t>
      </w:r>
      <w:r w:rsidRPr="007C3DF4">
        <w:rPr>
          <w:rFonts w:ascii="FrankRuehl" w:hAnsi="FrankRuehl" w:cs="FrankRuehl"/>
          <w:color w:val="000000"/>
          <w:spacing w:val="10"/>
          <w:sz w:val="28"/>
          <w:szCs w:val="28"/>
          <w:rtl/>
        </w:rPr>
        <w:t>.2024)</w:t>
      </w:r>
      <w:r w:rsidRPr="007C3DF4">
        <w:rPr>
          <w:rFonts w:ascii="FrankRuehl" w:hAnsi="FrankRuehl" w:cs="FrankRuehl" w:hint="cs"/>
          <w:color w:val="000000"/>
          <w:spacing w:val="10"/>
          <w:sz w:val="28"/>
          <w:szCs w:val="28"/>
          <w:rtl/>
        </w:rPr>
        <w:t>). ביום 28.3.2024 פורסמה הודעת השר כי החליט לאמץ את המלצת הוועדה ולהעניק את הפרס בתחום ספרות תורנית ומשפט עברי לרב יוסף. ביום 15.4.2024 פורסמו שמות חברי ועדות השופטים לפרסי ישראל לשנת תשפ"ד, לרבות חברי הוועדה בתחום ספרות תורנית ומשפט עברי.</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BE6FF6">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5.</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לאחר ההודעה על הענקת הפרס לרב יוסף, פנו העותרות בבג"ץ </w:t>
      </w:r>
      <w:r w:rsidR="00BE6FF6">
        <w:rPr>
          <w:rFonts w:ascii="FrankRuehl" w:hAnsi="FrankRuehl" w:cs="FrankRuehl" w:hint="cs"/>
          <w:color w:val="000000"/>
          <w:spacing w:val="10"/>
          <w:sz w:val="28"/>
          <w:szCs w:val="28"/>
          <w:rtl/>
        </w:rPr>
        <w:t>3401</w:t>
      </w:r>
      <w:r w:rsidRPr="007C3DF4">
        <w:rPr>
          <w:rFonts w:ascii="FrankRuehl" w:hAnsi="FrankRuehl" w:cs="FrankRuehl" w:hint="cs"/>
          <w:color w:val="000000"/>
          <w:spacing w:val="10"/>
          <w:sz w:val="28"/>
          <w:szCs w:val="28"/>
          <w:rtl/>
        </w:rPr>
        <w:t xml:space="preserve">/24 ובבג"ץ 3498/24 (להלן יחד: </w:t>
      </w:r>
      <w:r w:rsidRPr="007C3DF4">
        <w:rPr>
          <w:rFonts w:ascii="Century" w:hAnsi="Century" w:cs="Miriam" w:hint="cs"/>
          <w:b/>
          <w:sz w:val="22"/>
          <w:rtl/>
        </w:rPr>
        <w:t>העותרות</w:t>
      </w:r>
      <w:r w:rsidRPr="007C3DF4">
        <w:rPr>
          <w:rFonts w:ascii="FrankRuehl" w:hAnsi="FrankRuehl" w:cs="FrankRuehl" w:hint="cs"/>
          <w:color w:val="000000"/>
          <w:spacing w:val="10"/>
          <w:sz w:val="28"/>
          <w:szCs w:val="28"/>
          <w:rtl/>
        </w:rPr>
        <w:t>) לשר בבקשה לשקול בשנית את הענקת הפרס לרב יוסף. ברקע לפנייתן עמדו דברים שנשא הרב במהלך שיעור תורה שהעביר ביום 9.3.2024, לאחר החלטת הוועדה על זכייתו אך בטרם פורסם דבר זכייתו לציבור. דברי הרב נאמרו על רקע הדיון הציבורי על חוק הגיוס בצל הלחימה, ואביאם כלשונם כפי שצוטטו על ידי העותרת בבג"ץ 3498/24:</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"שבט לוי פטור מגיוס לצבא. לא לוקחים אותם בשום אופן, יהיה מה שיהיה. </w:t>
      </w:r>
      <w:r w:rsidRPr="007C3DF4">
        <w:rPr>
          <w:rFonts w:ascii="Century" w:hAnsi="Century" w:cs="Miriam" w:hint="cs"/>
          <w:b/>
          <w:sz w:val="22"/>
          <w:rtl/>
        </w:rPr>
        <w:t xml:space="preserve">אם יכריחו ללכת לצבא </w:t>
      </w:r>
      <w:r w:rsidRPr="007C3DF4">
        <w:rPr>
          <w:rFonts w:ascii="Century" w:hAnsi="Century" w:cs="Miriam"/>
          <w:b/>
          <w:sz w:val="22"/>
          <w:rtl/>
        </w:rPr>
        <w:t>–</w:t>
      </w:r>
      <w:r w:rsidRPr="007C3DF4">
        <w:rPr>
          <w:rFonts w:ascii="Century" w:hAnsi="Century" w:cs="Miriam" w:hint="cs"/>
          <w:b/>
          <w:sz w:val="22"/>
          <w:rtl/>
        </w:rPr>
        <w:t xml:space="preserve"> ניסע כולנו לחוץ לארץ, נקנה כרטיסים ונלך לשם</w:t>
      </w:r>
      <w:r w:rsidRPr="007C3DF4">
        <w:rPr>
          <w:rFonts w:ascii="Arial TUR" w:hAnsi="Arial TUR" w:cs="FrankRuehl" w:hint="cs"/>
          <w:spacing w:val="10"/>
          <w:sz w:val="22"/>
          <w:szCs w:val="28"/>
          <w:rtl/>
        </w:rPr>
        <w:t xml:space="preserve">. (...) כל החילונים האלה לא מבינים שבלי הכוללים והישיבות לא הייתה הצלחה לצבא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החיילים מצליחים רק בזכות בני התורה. בלי התורה, בלי הכוללים, ובלי הישיבות לא היה קיום, לא תהיה הצלחה, מה שהם מצליחים בצבא זה בזכות בני התורה, החיילים מצליחים בזכות בני התורה. גם ככה לא תמיד הצבא מצליח, ראינו איך הצבא הצליח בשמחת תורה" (הדגשה הוספה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י"ע</w:t>
      </w:r>
      <w:proofErr w:type="spellEnd"/>
      <w:r w:rsidRPr="007C3DF4">
        <w:rPr>
          <w:rFonts w:ascii="Arial TUR" w:hAnsi="Arial TUR" w:cs="FrankRuehl" w:hint="cs"/>
          <w:spacing w:val="10"/>
          <w:sz w:val="22"/>
          <w:szCs w:val="28"/>
          <w:rtl/>
        </w:rPr>
        <w:t xml:space="preserve">) (התבטאות זו תכונה להלן: </w:t>
      </w:r>
      <w:r w:rsidRPr="007C3DF4">
        <w:rPr>
          <w:rFonts w:ascii="Century" w:hAnsi="Century" w:cs="Miriam" w:hint="cs"/>
          <w:b/>
          <w:sz w:val="22"/>
          <w:rtl/>
        </w:rPr>
        <w:t>האיום בעזיבת הארץ</w:t>
      </w:r>
      <w:r w:rsidRPr="007C3DF4">
        <w:rPr>
          <w:rFonts w:ascii="Arial TUR" w:hAnsi="Arial TUR" w:cs="FrankRuehl" w:hint="cs"/>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6.</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מספר ימים לאחר מכן, ביום 13.3.2024, ניתן פסק דין בעתירה שבה התבקש בית המשפט להורות לשר לשירותי דת להעמיד את הרב יוסף לדין משמעתי בגין התבטאויות שאינן ראויות לתפקידו (</w:t>
      </w:r>
      <w:r w:rsidRPr="007C3DF4">
        <w:rPr>
          <w:rFonts w:ascii="FrankRuehl" w:hAnsi="FrankRuehl" w:cs="FrankRuehl"/>
          <w:color w:val="000000"/>
          <w:spacing w:val="10"/>
          <w:sz w:val="28"/>
          <w:szCs w:val="28"/>
          <w:rtl/>
        </w:rPr>
        <w:t>בג</w:t>
      </w:r>
      <w:r w:rsidRPr="007C3DF4">
        <w:rPr>
          <w:rFonts w:ascii="FrankRuehl" w:hAnsi="FrankRuehl" w:cs="FrankRuehl" w:hint="cs"/>
          <w:color w:val="000000"/>
          <w:spacing w:val="10"/>
          <w:sz w:val="28"/>
          <w:szCs w:val="28"/>
          <w:rtl/>
        </w:rPr>
        <w:t>"</w:t>
      </w:r>
      <w:r w:rsidRPr="007C3DF4">
        <w:rPr>
          <w:rFonts w:ascii="FrankRuehl" w:hAnsi="FrankRuehl" w:cs="FrankRuehl"/>
          <w:color w:val="000000"/>
          <w:spacing w:val="10"/>
          <w:sz w:val="28"/>
          <w:szCs w:val="28"/>
          <w:rtl/>
        </w:rPr>
        <w:t>ץ</w:t>
      </w:r>
      <w:r w:rsidRPr="007C3DF4">
        <w:rPr>
          <w:rFonts w:ascii="FrankRuehl" w:hAnsi="FrankRuehl" w:cs="FrankRuehl" w:hint="cs"/>
          <w:color w:val="000000"/>
          <w:spacing w:val="10"/>
          <w:sz w:val="28"/>
          <w:szCs w:val="28"/>
          <w:rtl/>
        </w:rPr>
        <w:t xml:space="preserve"> </w:t>
      </w:r>
      <w:r w:rsidRPr="007C3DF4">
        <w:rPr>
          <w:rFonts w:ascii="FrankRuehl" w:hAnsi="FrankRuehl" w:cs="FrankRuehl"/>
          <w:color w:val="000000"/>
          <w:spacing w:val="10"/>
          <w:sz w:val="28"/>
          <w:szCs w:val="28"/>
          <w:rtl/>
        </w:rPr>
        <w:t>5034/21 </w:t>
      </w:r>
      <w:r w:rsidRPr="007C3DF4">
        <w:rPr>
          <w:rFonts w:ascii="Century" w:hAnsi="Century" w:cs="Miriam"/>
          <w:b/>
          <w:sz w:val="22"/>
          <w:rtl/>
        </w:rPr>
        <w:t>התנועה הרפורמית</w:t>
      </w:r>
      <w:r w:rsidRPr="007C3DF4">
        <w:rPr>
          <w:rFonts w:ascii="Century" w:hAnsi="Century" w:cs="Miriam" w:hint="cs"/>
          <w:b/>
          <w:sz w:val="22"/>
          <w:rtl/>
        </w:rPr>
        <w:t>-</w:t>
      </w:r>
      <w:r w:rsidRPr="007C3DF4">
        <w:rPr>
          <w:rFonts w:ascii="Century" w:hAnsi="Century" w:cs="Miriam"/>
          <w:b/>
          <w:sz w:val="22"/>
          <w:rtl/>
        </w:rPr>
        <w:t>יהדות מתקדמת בישראל נ' השר לשירותי דת</w:t>
      </w:r>
      <w:r w:rsidRPr="007C3DF4">
        <w:rPr>
          <w:rFonts w:ascii="Century" w:hAnsi="Century" w:cs="Miriam" w:hint="cs"/>
          <w:b/>
          <w:sz w:val="22"/>
          <w:rtl/>
        </w:rPr>
        <w:t xml:space="preserve"> </w:t>
      </w:r>
      <w:r w:rsidRPr="007C3DF4">
        <w:rPr>
          <w:rFonts w:ascii="Century" w:hAnsi="Century" w:cs="FrankRuehl" w:hint="cs"/>
          <w:spacing w:val="10"/>
          <w:sz w:val="22"/>
          <w:szCs w:val="28"/>
          <w:rtl/>
        </w:rPr>
        <w:t>(13.3.2024))</w:t>
      </w:r>
      <w:r w:rsidRPr="007C3DF4">
        <w:rPr>
          <w:rFonts w:ascii="FrankRuehl" w:hAnsi="FrankRuehl" w:cs="FrankRuehl" w:hint="cs"/>
          <w:color w:val="000000"/>
          <w:spacing w:val="10"/>
          <w:sz w:val="28"/>
          <w:szCs w:val="28"/>
          <w:rtl/>
        </w:rPr>
        <w:t xml:space="preserve">. בהקשר זה נספר, כי כנגד הרב יוסף הוגשו מספר תלונות, הן לוועדת הבחירות המרכזית לכנסת ה-20 בשנת 2015 בטענה למעורבות בתעמולת בחירות, והן לנציב תלונות הציבור על השופטים והדיינים בשנים 2017 ו-2021-2020 בגין התבטאויות שאינן ראויות ובעלות גוון פוליטי.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color w:val="000000"/>
          <w:spacing w:val="10"/>
          <w:sz w:val="28"/>
          <w:szCs w:val="28"/>
          <w:rtl/>
        </w:rPr>
        <w:lastRenderedPageBreak/>
        <w:tab/>
      </w:r>
      <w:r w:rsidRPr="007C3DF4">
        <w:rPr>
          <w:rFonts w:ascii="FrankRuehl" w:hAnsi="FrankRuehl" w:cs="FrankRuehl" w:hint="cs"/>
          <w:color w:val="000000"/>
          <w:spacing w:val="10"/>
          <w:sz w:val="28"/>
          <w:szCs w:val="28"/>
          <w:rtl/>
        </w:rPr>
        <w:t xml:space="preserve">כך, ביום 20.3.2016, במסגרת דרשה שנשא, אמר הרב יוסף כי לפי ההלכה לגויים אסור לגור בארץ, כי שלטון תקיף יותר היה שולח אותם לסעודיה, וכי הסיבה שבגינה חיים בישראל גויים היא כדי לשרת את היהודים.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בחודש ינואר 2020 התבטא הרב יוסף נגד ציבור העולים לישראל ממדינות חבר העמים, ובין היתר ציין כי "יש כאן בארץ הרבה </w:t>
      </w:r>
      <w:proofErr w:type="spellStart"/>
      <w:r w:rsidRPr="007C3DF4">
        <w:rPr>
          <w:rFonts w:ascii="FrankRuehl" w:hAnsi="FrankRuehl" w:cs="FrankRuehl" w:hint="cs"/>
          <w:color w:val="000000"/>
          <w:spacing w:val="10"/>
          <w:sz w:val="28"/>
          <w:szCs w:val="28"/>
          <w:rtl/>
        </w:rPr>
        <w:t>הרבה</w:t>
      </w:r>
      <w:proofErr w:type="spellEnd"/>
      <w:r w:rsidRPr="007C3DF4">
        <w:rPr>
          <w:rFonts w:ascii="FrankRuehl" w:hAnsi="FrankRuehl" w:cs="FrankRuehl" w:hint="cs"/>
          <w:color w:val="000000"/>
          <w:spacing w:val="10"/>
          <w:sz w:val="28"/>
          <w:szCs w:val="28"/>
          <w:rtl/>
        </w:rPr>
        <w:t xml:space="preserve"> גויים... חלק מהם הם קומוניסטים, עוינים את הדת, שונאי דת. הם לא יהודיים בכלל, גויים. ואחר כך מצביעים למפלגות שמסיתים נגד החרדים, נגד הדת. לצערנו הרב. שהעלו אותם פה לארץ, שיהיה משקל נגד החרדים... בשביל זה העלו אותם פה לארץ. הם גויים גמורים. ממש גויים גמורים ואנחנו רואים את פרי ההסתה שהם עושים.. הרבה מהם לא יהודיים בכלל" ויש כאלה "שהולכים לכנסיה כל יום ראשון, הולכים למנזר". על רקע דברים אלה התקבלו פניות בעניינו של הרב יוסף ביחידה הממשלתית לתיאום המאבק בגזענות והוגשה תלונה כנגדו לנציב תלונות הציבור על השופטים והדיינים, השופט (בדימוס) </w:t>
      </w:r>
      <w:r w:rsidRPr="007C3DF4">
        <w:rPr>
          <w:rFonts w:ascii="Century" w:hAnsi="Century" w:cs="Miriam" w:hint="cs"/>
          <w:b/>
          <w:sz w:val="22"/>
          <w:rtl/>
        </w:rPr>
        <w:t>א' שהם</w:t>
      </w:r>
      <w:r w:rsidRPr="007C3DF4">
        <w:rPr>
          <w:rFonts w:ascii="FrankRuehl" w:hAnsi="FrankRuehl" w:cs="FrankRuehl" w:hint="cs"/>
          <w:color w:val="000000"/>
          <w:spacing w:val="10"/>
          <w:sz w:val="28"/>
          <w:szCs w:val="28"/>
          <w:rtl/>
        </w:rPr>
        <w:t xml:space="preserve"> (להלן: </w:t>
      </w:r>
      <w:r w:rsidRPr="007C3DF4">
        <w:rPr>
          <w:rFonts w:ascii="Century" w:hAnsi="Century" w:cs="Miriam" w:hint="cs"/>
          <w:b/>
          <w:sz w:val="22"/>
          <w:rtl/>
        </w:rPr>
        <w:t>הנציב</w:t>
      </w:r>
      <w:r w:rsidRPr="007C3DF4">
        <w:rPr>
          <w:rFonts w:ascii="FrankRuehl" w:hAnsi="FrankRuehl" w:cs="FrankRuehl" w:hint="cs"/>
          <w:color w:val="000000"/>
          <w:spacing w:val="10"/>
          <w:sz w:val="28"/>
          <w:szCs w:val="28"/>
          <w:rtl/>
        </w:rPr>
        <w:t xml:space="preserve">), שנמצאה מוצדקת. במסגרת החלטתו בתלונה מיום 5.3.2020, ולאור התבטאויותיו החוזרות ונשנות של הרב יוסף, המליץ הנציב לשר לשירותי דת דאז להעמידו לדין משמעתי.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במועד אחר, במסגרת דרשה שנשא בפני קהל מאמיניו, התבטא הרב יוסף כנגד התנועה הרפורמית ובית משפט העליון, ואמר, בין היתר, את הדברים הבאים: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"אתם יודעים </w:t>
      </w:r>
      <w:proofErr w:type="spellStart"/>
      <w:r w:rsidRPr="007C3DF4">
        <w:rPr>
          <w:rFonts w:ascii="Arial TUR" w:hAnsi="Arial TUR" w:cs="FrankRuehl" w:hint="cs"/>
          <w:spacing w:val="10"/>
          <w:sz w:val="22"/>
          <w:szCs w:val="28"/>
          <w:rtl/>
        </w:rPr>
        <w:t>שהבג"ץ</w:t>
      </w:r>
      <w:proofErr w:type="spellEnd"/>
      <w:r w:rsidRPr="007C3DF4">
        <w:rPr>
          <w:rFonts w:ascii="Arial TUR" w:hAnsi="Arial TUR" w:cs="FrankRuehl" w:hint="cs"/>
          <w:spacing w:val="10"/>
          <w:sz w:val="22"/>
          <w:szCs w:val="28"/>
          <w:rtl/>
        </w:rPr>
        <w:t xml:space="preserve"> כל דבר הוא מרגיש את עצמו מעל כולם, כל דבר הוא מתערב. כמו עכשיו מחייבים אותנו לעשות מבחנים לנשים [...] אבל זה משהו של חיקוי הרפורמים, כמה שאנחנו צריכים להתרחק מן הכיעור ומן הדומה לו [...] רפורמים זה שום דבר לא יעזור, הם זייפו את התורה, כל התורה אצלם זה מזויף, זה לא התורה שלנו [...] אני שבוע שעבר שלחתי הודעה אחרי </w:t>
      </w:r>
      <w:proofErr w:type="spellStart"/>
      <w:r w:rsidRPr="007C3DF4">
        <w:rPr>
          <w:rFonts w:ascii="Arial TUR" w:hAnsi="Arial TUR" w:cs="FrankRuehl" w:hint="cs"/>
          <w:spacing w:val="10"/>
          <w:sz w:val="22"/>
          <w:szCs w:val="28"/>
          <w:rtl/>
        </w:rPr>
        <w:t>שמנדלבליט</w:t>
      </w:r>
      <w:proofErr w:type="spellEnd"/>
      <w:r w:rsidRPr="007C3DF4">
        <w:rPr>
          <w:rFonts w:ascii="Arial TUR" w:hAnsi="Arial TUR" w:cs="FrankRuehl" w:hint="cs"/>
          <w:spacing w:val="10"/>
          <w:sz w:val="22"/>
          <w:szCs w:val="28"/>
          <w:rtl/>
        </w:rPr>
        <w:t xml:space="preserve"> כתב לי חוות דעת שאני חייב לשמוע לבית המשפט ואם לא, יאשימו אותי אחר כך בביזיון בית המשפט [...] אני לא אעשה בשום פנים ואופן מבחן לנשים, אני לא אעשה מבחן לנשים רבניות כמו הרפורמים... ואם יכריחו אותי אני אשבית בכלל את כל מערכת המבחנים, לא יעשה בכלל מבחנים...".</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בגין דברים אלו הוגשה תלונה נוספת כנגד הרב יוסף שנמצאה מוצדקת, תוך שצוין כי ל"מרבה הצער, למרות כל האזהרות החוזרות ונשנות שניתנו לדיין, כמפורט לעיל, נראה כי הוא ממאן לקבל על עצמו את כללי האתיקה לדיינים במלואם וממשיך להתבטא באופן שאינו ראוי ואינו הולם את תפקידו כדיין...". לנוכח החרפת </w:t>
      </w:r>
      <w:r w:rsidRPr="007C3DF4">
        <w:rPr>
          <w:rFonts w:ascii="Arial TUR" w:hAnsi="Arial TUR" w:cs="FrankRuehl" w:hint="cs"/>
          <w:spacing w:val="10"/>
          <w:sz w:val="22"/>
          <w:szCs w:val="28"/>
          <w:rtl/>
        </w:rPr>
        <w:lastRenderedPageBreak/>
        <w:t>ההתבטאויות והצהרות הרב כי לא יכבד החלטות של בית המשפט, מצא הנציב לעשות שימוש בסמכותו לפי סעיף 22(ה) לחוק נציב תלונות הציבור על שופטים, התשס"ב-2002 ולהמליץ לוועדה לבחירת שופטים לסיים את כהונתו של הרב יוסף (החלטה מיום 25.10.2020) (על פי החוק הנ"ל גם דיין מוגדר כשופט).</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בהחלטה נוספת מיום 25.11.2021 חזר הנציב על המלצתו כי השר לשירותי דת ישוב וישקול אם הרב יוסף ראוי לכהן כדיין בבית הדין הרבני הגדול, "ולמצער לזמנו ללשכתו ולנזוף בו נזיפה חמורה על התנהלותו...". החלטה זו ניתנה על רקע כינוס חירום שארגנה מועצת הרבנות הראשית בקשר לרפורמה במערך הכשרות והגיור, והתבטאויות של הרב יוסף התוקפות את הרפורמה המקודמת על ידי השר לשירותי דת וממשלת ישראל.</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 xml:space="preserve">על רקע כל אלה הוגשה העתירה בבג"ץ 5034/21 שנזכרה לעיל, וזו נדחתה בהסכמת העותרות בהתחשב במועד פרישתו הקרוב של הרב יוסף מתפקידו. וכך נאמר בפסק הדין (להלן: </w:t>
      </w:r>
      <w:r w:rsidRPr="007C3DF4">
        <w:rPr>
          <w:rFonts w:ascii="Century" w:hAnsi="Century" w:cs="Miriam" w:hint="cs"/>
          <w:b/>
          <w:sz w:val="22"/>
          <w:rtl/>
        </w:rPr>
        <w:t>בג"ץ 5034/21</w:t>
      </w:r>
      <w:r w:rsidRPr="007C3DF4">
        <w:rPr>
          <w:rFonts w:ascii="FrankRuehl" w:hAnsi="FrankRuehl" w:cs="FrankRuehl" w:hint="cs"/>
          <w:color w:val="000000"/>
          <w:spacing w:val="10"/>
          <w:sz w:val="28"/>
          <w:szCs w:val="28"/>
          <w:rtl/>
        </w:rPr>
        <w:t>):</w:t>
      </w:r>
    </w:p>
    <w:p w:rsidR="007C3DF4" w:rsidRPr="007C3DF4" w:rsidRDefault="007C3DF4" w:rsidP="007C3DF4">
      <w:pPr>
        <w:rPr>
          <w:rFonts w:cs="FrankRuehl"/>
          <w:spacing w:val="10"/>
          <w:sz w:val="22"/>
          <w:szCs w:val="28"/>
        </w:rPr>
      </w:pPr>
    </w:p>
    <w:p w:rsidR="007C3DF4" w:rsidRPr="007C3DF4" w:rsidRDefault="007C3DF4" w:rsidP="007C3DF4">
      <w:pPr>
        <w:ind w:left="1644" w:right="1276"/>
        <w:jc w:val="both"/>
        <w:rPr>
          <w:rFonts w:ascii="Century" w:hAnsi="Century" w:cs="FrankRuehl"/>
          <w:spacing w:val="10"/>
          <w:sz w:val="22"/>
          <w:szCs w:val="28"/>
          <w:rtl/>
        </w:rPr>
      </w:pPr>
      <w:r w:rsidRPr="007C3DF4">
        <w:rPr>
          <w:rFonts w:ascii="Arial TUR" w:hAnsi="Arial TUR" w:cs="FrankRuehl" w:hint="cs"/>
          <w:spacing w:val="10"/>
          <w:sz w:val="22"/>
          <w:szCs w:val="28"/>
          <w:rtl/>
        </w:rPr>
        <w:t>"בגמר ה</w:t>
      </w:r>
      <w:r w:rsidRPr="007C3DF4">
        <w:rPr>
          <w:rFonts w:ascii="Arial TUR" w:hAnsi="Arial TUR" w:cs="FrankRuehl" w:hint="eastAsia"/>
          <w:spacing w:val="10"/>
          <w:sz w:val="22"/>
          <w:szCs w:val="28"/>
          <w:rtl/>
        </w:rPr>
        <w:t>דיון</w:t>
      </w:r>
      <w:r w:rsidRPr="007C3DF4">
        <w:rPr>
          <w:rFonts w:ascii="Arial TUR" w:hAnsi="Arial TUR" w:cs="FrankRuehl" w:hint="cs"/>
          <w:spacing w:val="10"/>
          <w:sz w:val="22"/>
          <w:szCs w:val="28"/>
          <w:rtl/>
        </w:rPr>
        <w:t xml:space="preserve"> </w:t>
      </w:r>
      <w:r w:rsidRPr="007C3DF4">
        <w:rPr>
          <w:rFonts w:ascii="Arial TUR" w:hAnsi="Arial TUR" w:cs="FrankRuehl" w:hint="eastAsia"/>
          <w:spacing w:val="10"/>
          <w:sz w:val="22"/>
          <w:szCs w:val="28"/>
          <w:rtl/>
        </w:rPr>
        <w:t>שנערך</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לפנינו</w:t>
      </w:r>
      <w:r w:rsidRPr="007C3DF4">
        <w:rPr>
          <w:rFonts w:ascii="Arial TUR" w:hAnsi="Arial TUR" w:cs="FrankRuehl" w:hint="cs"/>
          <w:spacing w:val="10"/>
          <w:sz w:val="22"/>
          <w:szCs w:val="28"/>
          <w:rtl/>
        </w:rPr>
        <w:t xml:space="preserve">, </w:t>
      </w:r>
      <w:r w:rsidRPr="007C3DF4">
        <w:rPr>
          <w:rFonts w:ascii="Century" w:hAnsi="Century" w:cs="Miriam" w:hint="cs"/>
          <w:b/>
          <w:sz w:val="22"/>
          <w:rtl/>
        </w:rPr>
        <w:t>ומבלי להקל ראש בהתבטאויות הבלתי ראויות המיוחסות למשיב 5</w:t>
      </w:r>
      <w:r w:rsidRPr="007C3DF4">
        <w:rPr>
          <w:rFonts w:ascii="Arial TUR" w:hAnsi="Arial TUR" w:cs="FrankRuehl" w:hint="cs"/>
          <w:spacing w:val="10"/>
          <w:sz w:val="22"/>
          <w:szCs w:val="28"/>
          <w:rtl/>
        </w:rPr>
        <w:t xml:space="preserve"> [הרב יוסף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י"ע</w:t>
      </w:r>
      <w:proofErr w:type="spellEnd"/>
      <w:r w:rsidRPr="007C3DF4">
        <w:rPr>
          <w:rFonts w:ascii="Arial TUR" w:hAnsi="Arial TUR" w:cs="FrankRuehl" w:hint="cs"/>
          <w:spacing w:val="10"/>
          <w:sz w:val="22"/>
          <w:szCs w:val="28"/>
          <w:rtl/>
        </w:rPr>
        <w:t xml:space="preserve">] הצענו לעותרות </w:t>
      </w:r>
      <w:r w:rsidRPr="007C3DF4">
        <w:rPr>
          <w:rFonts w:ascii="FrankRuehl" w:hAnsi="FrankRuehl" w:cs="FrankRuehl"/>
          <w:color w:val="000000"/>
          <w:spacing w:val="10"/>
          <w:sz w:val="28"/>
          <w:szCs w:val="28"/>
          <w:shd w:val="clear" w:color="auto" w:fill="FFFFFF"/>
          <w:rtl/>
        </w:rPr>
        <w:t>לשקול בדעת</w:t>
      </w:r>
      <w:r w:rsidRPr="007C3DF4">
        <w:rPr>
          <w:rFonts w:ascii="FrankRuehl" w:hAnsi="FrankRuehl" w:cs="FrankRuehl" w:hint="cs"/>
          <w:color w:val="000000"/>
          <w:spacing w:val="10"/>
          <w:sz w:val="28"/>
          <w:szCs w:val="28"/>
          <w:shd w:val="clear" w:color="auto" w:fill="FFFFFF"/>
          <w:rtl/>
        </w:rPr>
        <w:t>ן</w:t>
      </w:r>
      <w:r w:rsidRPr="007C3DF4">
        <w:rPr>
          <w:rFonts w:ascii="FrankRuehl" w:hAnsi="FrankRuehl" w:cs="FrankRuehl"/>
          <w:color w:val="000000"/>
          <w:spacing w:val="10"/>
          <w:sz w:val="28"/>
          <w:szCs w:val="28"/>
          <w:shd w:val="clear" w:color="auto" w:fill="FFFFFF"/>
          <w:rtl/>
        </w:rPr>
        <w:t xml:space="preserve"> אם ה</w:t>
      </w:r>
      <w:r w:rsidRPr="007C3DF4">
        <w:rPr>
          <w:rFonts w:ascii="FrankRuehl" w:hAnsi="FrankRuehl" w:cs="FrankRuehl" w:hint="cs"/>
          <w:color w:val="000000"/>
          <w:spacing w:val="10"/>
          <w:sz w:val="28"/>
          <w:szCs w:val="28"/>
          <w:shd w:val="clear" w:color="auto" w:fill="FFFFFF"/>
          <w:rtl/>
        </w:rPr>
        <w:t>ן</w:t>
      </w:r>
      <w:r w:rsidRPr="007C3DF4">
        <w:rPr>
          <w:rFonts w:ascii="FrankRuehl" w:hAnsi="FrankRuehl" w:cs="FrankRuehl"/>
          <w:color w:val="000000"/>
          <w:spacing w:val="10"/>
          <w:sz w:val="28"/>
          <w:szCs w:val="28"/>
          <w:shd w:val="clear" w:color="auto" w:fill="FFFFFF"/>
          <w:rtl/>
        </w:rPr>
        <w:t xml:space="preserve"> עומד</w:t>
      </w:r>
      <w:r w:rsidRPr="007C3DF4">
        <w:rPr>
          <w:rFonts w:ascii="FrankRuehl" w:hAnsi="FrankRuehl" w:cs="FrankRuehl" w:hint="cs"/>
          <w:color w:val="000000"/>
          <w:spacing w:val="10"/>
          <w:sz w:val="28"/>
          <w:szCs w:val="28"/>
          <w:shd w:val="clear" w:color="auto" w:fill="FFFFFF"/>
          <w:rtl/>
        </w:rPr>
        <w:t>ות</w:t>
      </w:r>
      <w:r w:rsidRPr="007C3DF4">
        <w:rPr>
          <w:rFonts w:ascii="FrankRuehl" w:hAnsi="FrankRuehl" w:cs="FrankRuehl"/>
          <w:color w:val="000000"/>
          <w:spacing w:val="10"/>
          <w:sz w:val="28"/>
          <w:szCs w:val="28"/>
          <w:shd w:val="clear" w:color="auto" w:fill="FFFFFF"/>
          <w:rtl/>
        </w:rPr>
        <w:t xml:space="preserve"> על העתיר</w:t>
      </w:r>
      <w:r w:rsidRPr="007C3DF4">
        <w:rPr>
          <w:rFonts w:ascii="FrankRuehl" w:hAnsi="FrankRuehl" w:cs="FrankRuehl" w:hint="cs"/>
          <w:color w:val="000000"/>
          <w:spacing w:val="10"/>
          <w:sz w:val="28"/>
          <w:szCs w:val="28"/>
          <w:shd w:val="clear" w:color="auto" w:fill="FFFFFF"/>
          <w:rtl/>
        </w:rPr>
        <w:t>ה. זאת, מאחר ש</w:t>
      </w:r>
      <w:r w:rsidRPr="007C3DF4">
        <w:rPr>
          <w:rFonts w:ascii="Arial TUR" w:hAnsi="Arial TUR" w:cs="FrankRuehl" w:hint="cs"/>
          <w:spacing w:val="10"/>
          <w:sz w:val="22"/>
          <w:szCs w:val="28"/>
          <w:rtl/>
        </w:rPr>
        <w:t xml:space="preserve">לאור מועד פרישתו הקרב של המשיב 5 מתפקידו, ובשים לב לפסק הדין שניתן </w:t>
      </w:r>
      <w:r w:rsidRPr="007C3DF4">
        <w:rPr>
          <w:rFonts w:ascii="Arial TUR" w:hAnsi="Arial TUR" w:cs="FrankRuehl" w:hint="eastAsia"/>
          <w:spacing w:val="10"/>
          <w:sz w:val="22"/>
          <w:szCs w:val="28"/>
          <w:rtl/>
        </w:rPr>
        <w:t>לאחרונה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בבג</w:t>
      </w:r>
      <w:r w:rsidRPr="007C3DF4">
        <w:rPr>
          <w:rFonts w:ascii="Arial TUR" w:hAnsi="Arial TUR" w:cs="FrankRuehl"/>
          <w:spacing w:val="10"/>
          <w:sz w:val="22"/>
          <w:szCs w:val="28"/>
          <w:rtl/>
        </w:rPr>
        <w:t>"</w:t>
      </w:r>
      <w:r w:rsidRPr="007C3DF4">
        <w:rPr>
          <w:rFonts w:ascii="Arial TUR" w:hAnsi="Arial TUR" w:cs="FrankRuehl" w:hint="eastAsia"/>
          <w:spacing w:val="10"/>
          <w:sz w:val="22"/>
          <w:szCs w:val="28"/>
          <w:rtl/>
        </w:rPr>
        <w:t>ץ</w:t>
      </w:r>
      <w:r w:rsidRPr="007C3DF4">
        <w:rPr>
          <w:rFonts w:ascii="Arial TUR" w:hAnsi="Arial TUR" w:cs="FrankRuehl"/>
          <w:spacing w:val="10"/>
          <w:sz w:val="22"/>
          <w:szCs w:val="28"/>
          <w:rtl/>
        </w:rPr>
        <w:t xml:space="preserve"> 5227/21 –</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הסעדים</w:t>
      </w:r>
      <w:proofErr w:type="spellEnd"/>
      <w:r w:rsidRPr="007C3DF4">
        <w:rPr>
          <w:rFonts w:ascii="Arial TUR" w:hAnsi="Arial TUR" w:cs="FrankRuehl" w:hint="cs"/>
          <w:spacing w:val="10"/>
          <w:sz w:val="22"/>
          <w:szCs w:val="28"/>
          <w:rtl/>
        </w:rPr>
        <w:t xml:space="preserve"> שהתבקשו </w:t>
      </w:r>
      <w:r w:rsidRPr="007C3DF4">
        <w:rPr>
          <w:rFonts w:ascii="Century" w:hAnsi="Century" w:cs="FrankRuehl" w:hint="cs"/>
          <w:spacing w:val="10"/>
          <w:sz w:val="22"/>
          <w:szCs w:val="28"/>
          <w:rtl/>
        </w:rPr>
        <w:t>בעתירה אינם אפקטיביים עוד (ראו</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5227/21 </w:t>
      </w:r>
      <w:r w:rsidRPr="007C3DF4">
        <w:rPr>
          <w:rFonts w:ascii="Century" w:hAnsi="Century" w:cs="Miriam" w:hint="eastAsia"/>
          <w:b/>
          <w:sz w:val="22"/>
          <w:rtl/>
        </w:rPr>
        <w:t>התנועה</w:t>
      </w:r>
      <w:r w:rsidRPr="007C3DF4">
        <w:rPr>
          <w:rFonts w:ascii="Century" w:hAnsi="Century" w:cs="Miriam"/>
          <w:b/>
          <w:sz w:val="22"/>
          <w:rtl/>
        </w:rPr>
        <w:t xml:space="preserve"> </w:t>
      </w:r>
      <w:r w:rsidRPr="007C3DF4">
        <w:rPr>
          <w:rFonts w:ascii="Century" w:hAnsi="Century" w:cs="Miriam" w:hint="eastAsia"/>
          <w:b/>
          <w:sz w:val="22"/>
          <w:rtl/>
        </w:rPr>
        <w:t>הרפורמית</w:t>
      </w:r>
      <w:r w:rsidRPr="007C3DF4">
        <w:rPr>
          <w:rFonts w:ascii="Century" w:hAnsi="Century" w:cs="Miriam"/>
          <w:b/>
          <w:sz w:val="22"/>
          <w:rtl/>
        </w:rPr>
        <w:t xml:space="preserve"> - </w:t>
      </w:r>
      <w:r w:rsidRPr="007C3DF4">
        <w:rPr>
          <w:rFonts w:ascii="Century" w:hAnsi="Century" w:cs="Miriam" w:hint="eastAsia"/>
          <w:b/>
          <w:sz w:val="22"/>
          <w:rtl/>
        </w:rPr>
        <w:t>יהדות</w:t>
      </w:r>
      <w:r w:rsidRPr="007C3DF4">
        <w:rPr>
          <w:rFonts w:ascii="Century" w:hAnsi="Century" w:cs="Miriam"/>
          <w:b/>
          <w:sz w:val="22"/>
          <w:rtl/>
        </w:rPr>
        <w:t xml:space="preserve"> </w:t>
      </w:r>
      <w:r w:rsidRPr="007C3DF4">
        <w:rPr>
          <w:rFonts w:ascii="Century" w:hAnsi="Century" w:cs="Miriam" w:hint="eastAsia"/>
          <w:b/>
          <w:sz w:val="22"/>
          <w:rtl/>
        </w:rPr>
        <w:t>מתקדמת</w:t>
      </w:r>
      <w:r w:rsidRPr="007C3DF4">
        <w:rPr>
          <w:rFonts w:ascii="Century" w:hAnsi="Century" w:cs="Miriam"/>
          <w:b/>
          <w:sz w:val="22"/>
          <w:rtl/>
        </w:rPr>
        <w:t xml:space="preserve"> </w:t>
      </w:r>
      <w:r w:rsidRPr="007C3DF4">
        <w:rPr>
          <w:rFonts w:ascii="Century" w:hAnsi="Century" w:cs="Miriam" w:hint="eastAsia"/>
          <w:b/>
          <w:sz w:val="22"/>
          <w:rtl/>
        </w:rPr>
        <w:t>בישראל</w:t>
      </w:r>
      <w:r w:rsidRPr="007C3DF4">
        <w:rPr>
          <w:rFonts w:ascii="Century" w:hAnsi="Century" w:cs="Miriam"/>
          <w:b/>
          <w:sz w:val="22"/>
          <w:rtl/>
        </w:rPr>
        <w:t xml:space="preserve"> </w:t>
      </w:r>
      <w:r w:rsidRPr="007C3DF4">
        <w:rPr>
          <w:rFonts w:ascii="Century" w:hAnsi="Century" w:cs="Miriam" w:hint="eastAsia"/>
          <w:b/>
          <w:sz w:val="22"/>
          <w:rtl/>
        </w:rPr>
        <w:t>נ</w:t>
      </w:r>
      <w:r w:rsidRPr="007C3DF4">
        <w:rPr>
          <w:rFonts w:ascii="Century" w:hAnsi="Century" w:cs="Miriam"/>
          <w:b/>
          <w:sz w:val="22"/>
          <w:rtl/>
        </w:rPr>
        <w:t xml:space="preserve">' </w:t>
      </w:r>
      <w:r w:rsidRPr="007C3DF4">
        <w:rPr>
          <w:rFonts w:ascii="Century" w:hAnsi="Century" w:cs="Miriam" w:hint="eastAsia"/>
          <w:b/>
          <w:sz w:val="22"/>
          <w:rtl/>
        </w:rPr>
        <w:t>שר</w:t>
      </w:r>
      <w:r w:rsidRPr="007C3DF4">
        <w:rPr>
          <w:rFonts w:ascii="Century" w:hAnsi="Century" w:cs="Miriam"/>
          <w:b/>
          <w:sz w:val="22"/>
          <w:rtl/>
        </w:rPr>
        <w:t xml:space="preserve"> המשפטים</w:t>
      </w:r>
      <w:r w:rsidRPr="007C3DF4">
        <w:rPr>
          <w:rFonts w:ascii="Century" w:hAnsi="Century" w:cs="FrankRuehl" w:hint="cs"/>
          <w:spacing w:val="10"/>
          <w:sz w:val="22"/>
          <w:szCs w:val="28"/>
          <w:rtl/>
        </w:rPr>
        <w:t xml:space="preserve">, פס' 7 </w:t>
      </w:r>
      <w:r w:rsidRPr="007C3DF4">
        <w:rPr>
          <w:rFonts w:ascii="Century" w:hAnsi="Century" w:cs="FrankRuehl"/>
          <w:spacing w:val="10"/>
          <w:sz w:val="22"/>
          <w:szCs w:val="28"/>
          <w:rtl/>
        </w:rPr>
        <w:t>(26.</w:t>
      </w:r>
      <w:r w:rsidRPr="007C3DF4">
        <w:rPr>
          <w:rFonts w:ascii="Century" w:hAnsi="Century" w:cs="FrankRuehl" w:hint="cs"/>
          <w:spacing w:val="10"/>
          <w:sz w:val="22"/>
          <w:szCs w:val="28"/>
          <w:rtl/>
        </w:rPr>
        <w:t>2</w:t>
      </w:r>
      <w:r w:rsidRPr="007C3DF4">
        <w:rPr>
          <w:rFonts w:ascii="Century" w:hAnsi="Century" w:cs="FrankRuehl"/>
          <w:spacing w:val="10"/>
          <w:sz w:val="22"/>
          <w:szCs w:val="28"/>
          <w:rtl/>
        </w:rPr>
        <w:t>.2024)</w:t>
      </w:r>
      <w:r w:rsidRPr="007C3DF4">
        <w:rPr>
          <w:rFonts w:ascii="Century" w:hAnsi="Century" w:cs="FrankRuehl" w:hint="cs"/>
          <w:spacing w:val="10"/>
          <w:sz w:val="22"/>
          <w:szCs w:val="28"/>
          <w:rtl/>
        </w:rPr>
        <w:t>.</w:t>
      </w:r>
    </w:p>
    <w:p w:rsidR="007C3DF4" w:rsidRPr="007C3DF4" w:rsidRDefault="007C3DF4" w:rsidP="007C3DF4">
      <w:pPr>
        <w:ind w:left="1644" w:right="1276"/>
        <w:jc w:val="both"/>
        <w:rPr>
          <w:rFonts w:ascii="Century" w:hAnsi="Century"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בנסיבות אלו, הודיעו העותרות כי הן מקבלות את הצעתנו ומסכימות לדחיית העתירה.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לפיכך, מפאת מועד פרישתו הצפוי של המשיב 5, </w:t>
      </w:r>
      <w:r w:rsidRPr="007C3DF4">
        <w:rPr>
          <w:rFonts w:ascii="Century" w:hAnsi="Century" w:cs="Miriam" w:hint="cs"/>
          <w:b/>
          <w:sz w:val="22"/>
          <w:rtl/>
        </w:rPr>
        <w:t>ומטעם זה בלבד</w:t>
      </w:r>
      <w:r w:rsidRPr="007C3DF4">
        <w:rPr>
          <w:rFonts w:ascii="Arial TUR" w:hAnsi="Arial TUR" w:cs="FrankRuehl" w:hint="cs"/>
          <w:spacing w:val="10"/>
          <w:sz w:val="22"/>
          <w:szCs w:val="28"/>
          <w:rtl/>
        </w:rPr>
        <w:t xml:space="preserve">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מצאנו לדחות את העתירה" (הדגשות הוספו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י"ע</w:t>
      </w:r>
      <w:proofErr w:type="spellEnd"/>
      <w:r w:rsidRPr="007C3DF4">
        <w:rPr>
          <w:rFonts w:ascii="Arial TUR" w:hAnsi="Arial TUR" w:cs="FrankRuehl" w:hint="cs"/>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 </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r w:rsidRPr="007C3DF4">
        <w:rPr>
          <w:rFonts w:ascii="FrankRuehl" w:hAnsi="FrankRuehl" w:cs="FrankRuehl" w:hint="cs"/>
          <w:color w:val="000000"/>
          <w:spacing w:val="10"/>
          <w:sz w:val="28"/>
          <w:szCs w:val="28"/>
          <w:rtl/>
        </w:rPr>
        <w:t>7.</w:t>
      </w:r>
      <w:r w:rsidRPr="007C3DF4">
        <w:rPr>
          <w:rFonts w:ascii="FrankRuehl" w:hAnsi="FrankRuehl" w:cs="FrankRuehl"/>
          <w:color w:val="000000"/>
          <w:spacing w:val="10"/>
          <w:sz w:val="28"/>
          <w:szCs w:val="28"/>
          <w:rtl/>
        </w:rPr>
        <w:tab/>
      </w:r>
      <w:r w:rsidRPr="007C3DF4">
        <w:rPr>
          <w:rFonts w:ascii="FrankRuehl" w:hAnsi="FrankRuehl" w:cs="FrankRuehl" w:hint="cs"/>
          <w:color w:val="000000"/>
          <w:spacing w:val="10"/>
          <w:sz w:val="28"/>
          <w:szCs w:val="28"/>
          <w:rtl/>
        </w:rPr>
        <w:t>ובחזרה להשתלשלות העניינים הנוגעת להענקת פרס ישראל לשנת תשפ"ד. כאמור, העותרות פנו לשר בבקשה לשקול בשנית את זכייתו של הרב יוסף בפרס, וביום 18.4.2024 התקבל אצל העותרת בבג"ץ 3498/24 מכתב מטעם המחלקה המשפטית של משרד החינוך שבו צוין, בין היתר, כלהלן:</w:t>
      </w:r>
    </w:p>
    <w:p w:rsidR="007C3DF4" w:rsidRPr="007C3DF4" w:rsidRDefault="007C3DF4" w:rsidP="007C3DF4">
      <w:pPr>
        <w:tabs>
          <w:tab w:val="left" w:pos="800"/>
        </w:tabs>
        <w:spacing w:line="360" w:lineRule="auto"/>
        <w:jc w:val="both"/>
        <w:rPr>
          <w:rFonts w:ascii="FrankRuehl" w:hAnsi="FrankRuehl" w:cs="FrankRuehl"/>
          <w:color w:val="000000"/>
          <w:spacing w:val="10"/>
          <w:sz w:val="28"/>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lastRenderedPageBreak/>
        <w:t>"לעמדתנו, בהתאם למצב המשפטי, אמירה כנגד גיוס בני ישיבות לצבא ואף 'איום' בעזיבת הארץ, הגם שהינה חמורה ויש בה כדי לקומם, אינה נכללת ברשימת המקרים הקיצוניים המצדיקים התערבות בהמלצה המקצועית של ועדת הפרס ובהחלטת שר החינוך לאמצה".</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8.</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על רקע זה הוגשו שתי העתירות שלפנינו, בגדרן התבקשנו, בעיקרו של דבר, להורות על ביטול המלצת ועדת השופטים והחלטת השר להעניק לרב יוסף את הפרס; ולמצער להורות על דיון מחודש בזכייה בשל כך שבעת מתן ההמלצה לא היו מונחים בפני הוועדה כלל הנתונים הרלוונטיים בעניינו של הרב יוסף.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תמצית טיעוני הצדדים בכתב ובדיון</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p>
    <w:p w:rsidR="007C3DF4" w:rsidRPr="007C3DF4" w:rsidRDefault="007C3DF4" w:rsidP="00BE6FF6">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9.</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העותרת בבג"ץ 3498/24, משמר הדמוקרטיה הישראלית, מיקדה את עתירתה בדברי הרב מיום 9.3.204, קרי, באיום העזיבה מהארץ</w:t>
      </w:r>
      <w:r w:rsidR="00BE6FF6">
        <w:rPr>
          <w:rFonts w:ascii="Arial TUR" w:hAnsi="Arial TUR" w:cs="FrankRuehl" w:hint="cs"/>
          <w:spacing w:val="10"/>
          <w:sz w:val="22"/>
          <w:szCs w:val="28"/>
          <w:rtl/>
        </w:rPr>
        <w:t xml:space="preserve"> אם יגויסו תלמידי הישיבות.</w:t>
      </w:r>
      <w:r w:rsidRPr="007C3DF4">
        <w:rPr>
          <w:rFonts w:ascii="Arial TUR" w:hAnsi="Arial TUR" w:cs="FrankRuehl" w:hint="cs"/>
          <w:spacing w:val="10"/>
          <w:sz w:val="22"/>
          <w:szCs w:val="28"/>
          <w:rtl/>
        </w:rPr>
        <w:t xml:space="preserve"> לשיטתה, התבטאותו המפלגת והמסיתה של המשיב הקוראת לסרבנות, השתמטות וירידה מהארץ, חריגה בחומרתה ומצדיקה התערבות בהחלטתה המקצועית של ועדת השופטים. נטען כי עניינו של המשיב נופל בגדר אותם מקרים חריגים שבהם יש לשקול שיקולים שאינם מקצועיים ומצדיקים את פסילתו של המועמד, וזאת בהתחשב בכך שבניגוד למקרים אחרים שהובאו בפני בית משפט זה, המשיב מכהן בתפקיד ציבורי וכשל בשורה ארוכה של התבטאויות שאינן הולמות את תפקידו; התבטאותו של המשיב נעשתה אך לאחרונה ובתקופת לחימה, כשבדבריו גילה זלזול וקיפוח של ציבור הנושאים בנטל ביטחון המדינה; וקריאתו של המשיב כמוה כקריאה לחרם על מדינת ישראל בדרך של עזיבה, מהווה הפרה בוטה של חובת הנאמנות למדינה שבה הוא חייב מעצם תפקידו, ועשויה להיות נסיבה חיצונית רלוונטית בהחלטה להעניק לו את פרס ישראל.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10.</w:t>
      </w:r>
      <w:r w:rsidRPr="007C3DF4">
        <w:rPr>
          <w:rFonts w:ascii="Arial TUR" w:hAnsi="Arial TUR" w:cs="FrankRuehl" w:hint="cs"/>
          <w:spacing w:val="10"/>
          <w:sz w:val="22"/>
          <w:szCs w:val="28"/>
          <w:rtl/>
        </w:rPr>
        <w:tab/>
        <w:t xml:space="preserve">העותרת בבג"ץ 3401/24 סקרה בעתירתה את שלל התבטאויותיו של הרב יוסף, כנזכר לעיל. לטענתה, קיים חשש כי התשתית העובדתית המלאה בעניינו של הרב יוסף לא הוצגה לחברי הוועדה, ויש לתת משקל להמלצות הנציב בעניינו של המשיב, להתבטאותו לאחר גיבוש ההמלצה ולפסק הדין בעניין העמדתו לדין משמעתי. לעמדתה, הימנעותו של השר מלדחות את המלצת הוועדה, או לפחות להורות לוועדה לערוך בעניינו של המשיב בחינה מחודשת, נגועה בחוסר סבירות קיצוני וחותרת תחת הממלכתיות של פרס ישראל. עוד נטען, בין היתר, כי צבר התבטאויותיו של המשיב כלפי יוצאי חבר העמים נגוע בגזענות חמורה, ועל פי הפסיקה הנוהגת יכול להצדיק פסילתו של מועמד מזכייה בפרס; כי התבטאויות המשיב אינן מוגנות בחופש הביטוי משום שנאמרו בניגוד לדין המשמעתי החל עליו מתוקף תפקידו, וכן כי חלה עליו חובת זהירות </w:t>
      </w:r>
      <w:r w:rsidRPr="007C3DF4">
        <w:rPr>
          <w:rFonts w:ascii="Arial TUR" w:hAnsi="Arial TUR" w:cs="FrankRuehl" w:hint="cs"/>
          <w:spacing w:val="10"/>
          <w:sz w:val="22"/>
          <w:szCs w:val="28"/>
          <w:rtl/>
        </w:rPr>
        <w:lastRenderedPageBreak/>
        <w:t>מוגברת; וכי הנסיבות וההקשר שבהם נאמרו דברי המשיב לאורך השנים, ושבעטיים הוגשו נגדו תלונות לנציב, מעידים כי התבטאויותיו קשורות לעשייתו המקצועית שבגינה נבחר לקבל את הפרס. נטען כי אין להניח שביכולתו של הציבור להבחין בין כתיבתו התורנית של המשיב לבין דבריו המופצים בשיעורי תורה, והענקת הפרס בנסיבות אלה מהווה גושפנקא ממלכתית לעמדותיו הגזעניות ומנוגדת לתכליות ולאופיו הממלכתי של פרס ישראל.</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העותרות הדגישו כי התבטאותו של המשיב בנושא גיוס חרדים חמורה ופוגענית עוד יותר בתקופת מלחמה, ואין להלום מצב שבו יוענק למשיב פרס ישראל ביום שבו נחגגת עצמאותה </w:t>
      </w:r>
      <w:proofErr w:type="spellStart"/>
      <w:r w:rsidRPr="007C3DF4">
        <w:rPr>
          <w:rFonts w:ascii="Arial TUR" w:hAnsi="Arial TUR" w:cs="FrankRuehl" w:hint="cs"/>
          <w:spacing w:val="10"/>
          <w:sz w:val="22"/>
          <w:szCs w:val="28"/>
          <w:rtl/>
        </w:rPr>
        <w:t>וקוממיותה</w:t>
      </w:r>
      <w:proofErr w:type="spellEnd"/>
      <w:r w:rsidRPr="007C3DF4">
        <w:rPr>
          <w:rFonts w:ascii="Arial TUR" w:hAnsi="Arial TUR" w:cs="FrankRuehl" w:hint="cs"/>
          <w:spacing w:val="10"/>
          <w:sz w:val="22"/>
          <w:szCs w:val="28"/>
          <w:rtl/>
        </w:rPr>
        <w:t xml:space="preserve">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כאשר הלה קורא לירידה מהארץ ומזלזל באלו המחרפים נפשם למען המשך קיומה. זאת ועוד, המשיב לא התנצל על התבטאותו זו וגם כשהבהיר את דבריו לא חזר בו מעמדתו בנוגע לעזיבת הארץ. הענקת הפרס בעת הזו, כך נטען, פוגעת במאמץ המלחמתי ובחוסן הלאומי, ויש להחזיר את הדיון לפתחה של הוועדה על מנת שתבחן מחדש את זכייתו של המשיב.</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11.</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לנוכח סד הזמנים הדוחק, הנגזר ממועד קיומו של טקס פרס ישראל במוצאי יום העצמאות </w:t>
      </w:r>
      <w:proofErr w:type="spellStart"/>
      <w:r w:rsidRPr="007C3DF4">
        <w:rPr>
          <w:rFonts w:ascii="Arial TUR" w:hAnsi="Arial TUR" w:cs="FrankRuehl" w:hint="cs"/>
          <w:spacing w:val="10"/>
          <w:sz w:val="22"/>
          <w:szCs w:val="28"/>
          <w:rtl/>
        </w:rPr>
        <w:t>התשפ"ד</w:t>
      </w:r>
      <w:proofErr w:type="spellEnd"/>
      <w:r w:rsidRPr="007C3DF4">
        <w:rPr>
          <w:rFonts w:ascii="Arial TUR" w:hAnsi="Arial TUR" w:cs="FrankRuehl" w:hint="cs"/>
          <w:spacing w:val="10"/>
          <w:sz w:val="22"/>
          <w:szCs w:val="28"/>
          <w:rtl/>
        </w:rPr>
        <w:t xml:space="preserve"> (14.5.2024)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הורינו בהחלטה מיום 30.4.2024 כי מטעמי יעילות, ומבלי שיהיה בכך כדי להביע עמדה לגופם של דברים, יינתן צו על תנאי כמבוקש בעתירות.</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12.</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כתב תשובה מטעם המדינה (המשיבים 3-1 בבג"ץ 3401/24 והמשיבים 2-1 בבג"ץ 3498/24) (להלן: </w:t>
      </w:r>
      <w:r w:rsidRPr="007C3DF4">
        <w:rPr>
          <w:rFonts w:ascii="Century" w:hAnsi="Century" w:cs="Miriam" w:hint="cs"/>
          <w:b/>
          <w:sz w:val="22"/>
          <w:rtl/>
        </w:rPr>
        <w:t>המשיבים</w:t>
      </w:r>
      <w:r w:rsidRPr="007C3DF4">
        <w:rPr>
          <w:rFonts w:ascii="Arial TUR" w:hAnsi="Arial TUR" w:cs="FrankRuehl" w:hint="cs"/>
          <w:spacing w:val="10"/>
          <w:sz w:val="22"/>
          <w:szCs w:val="28"/>
          <w:rtl/>
        </w:rPr>
        <w:t xml:space="preserve">) הוגש ביום 3.5.2024 ודיון במעמד הצדדים התקיים ביום 6.5.2024. נציין כי הרב יוסף בחר מטעמים השמורים עמו שלא להגיב לעתירה ולא להיות מיוצג, וכפי שהדגישו המשיבים בפתח הדיון, הם אינם מתיימרים לייצג את הרב יוסף. מכל מקום, בהיעדר תגובה מצד הרב יוסף, אנו יוצאים מנקודת הנחה כי אין מחלוקת לגבי הדברים שיוחסו לו בעתירות.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13.</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במהלך הדיון העותרת בבג"ץ 3401/24 ציטטה מספריו של הרב יוסף, על מנת להדגים, בין היתר, כי גם במשנתו התורנית הוא מטיף לאי גיוס לצה"ל ואף מורה לבן שלא לציית לאביו אם זה מורה לו להתגייס. נטען, בין היתר, כי האיום לעזוב את הארץ ועוד בזמן מלחמה, כמוהו כשידול להשתמטות שניתן אף לראותו כעבירה פלילית לפי סעיף 109(א) ו-109(ד) לחוק העונשין, התשל"ז-1977 הקובע כלהלן:</w:t>
      </w:r>
    </w:p>
    <w:p w:rsidR="007C3DF4" w:rsidRPr="007C3DF4" w:rsidRDefault="007C3DF4" w:rsidP="007C3DF4">
      <w:pPr>
        <w:ind w:left="1644" w:right="1276"/>
        <w:jc w:val="both"/>
        <w:rPr>
          <w:rFonts w:ascii="Arial TUR" w:hAnsi="Arial TUR" w:cs="FrankRuehl"/>
          <w:spacing w:val="10"/>
          <w:sz w:val="22"/>
          <w:szCs w:val="28"/>
          <w:rtl/>
        </w:rPr>
      </w:pPr>
    </w:p>
    <w:p w:rsidR="00C71CAD" w:rsidRDefault="00C71CAD">
      <w:pPr>
        <w:overflowPunct/>
        <w:autoSpaceDE/>
        <w:autoSpaceDN/>
        <w:bidi w:val="0"/>
        <w:adjustRightInd/>
        <w:textAlignment w:val="auto"/>
        <w:rPr>
          <w:rFonts w:ascii="Century" w:hAnsi="Century" w:cs="Miriam"/>
          <w:b/>
          <w:sz w:val="22"/>
          <w:rtl/>
        </w:rPr>
      </w:pPr>
      <w:r>
        <w:rPr>
          <w:rFonts w:ascii="Century" w:hAnsi="Century" w:cs="Miriam"/>
          <w:b/>
          <w:sz w:val="22"/>
          <w:rtl/>
        </w:rPr>
        <w:br w:type="page"/>
      </w:r>
    </w:p>
    <w:p w:rsidR="007C3DF4" w:rsidRDefault="007C3DF4" w:rsidP="00472D93">
      <w:pPr>
        <w:ind w:right="1276"/>
        <w:jc w:val="both"/>
        <w:rPr>
          <w:rFonts w:ascii="Century" w:hAnsi="Century" w:cs="Miriam"/>
          <w:b/>
          <w:sz w:val="22"/>
          <w:rtl/>
        </w:rPr>
      </w:pPr>
      <w:r w:rsidRPr="007C3DF4">
        <w:rPr>
          <w:rFonts w:ascii="Century" w:hAnsi="Century" w:cs="Miriam" w:hint="cs"/>
          <w:b/>
          <w:sz w:val="22"/>
          <w:rtl/>
        </w:rPr>
        <w:lastRenderedPageBreak/>
        <w:t xml:space="preserve">הסתה להשתמטות </w:t>
      </w:r>
    </w:p>
    <w:p w:rsidR="00C71CAD" w:rsidRPr="007C3DF4" w:rsidRDefault="00C71CAD" w:rsidP="00472D93">
      <w:pPr>
        <w:ind w:right="1276"/>
        <w:jc w:val="both"/>
        <w:rPr>
          <w:rFonts w:ascii="Century" w:hAnsi="Century" w:cs="Miriam"/>
          <w:b/>
          <w:sz w:val="22"/>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109(</w:t>
      </w:r>
      <w:r w:rsidRPr="007C3DF4">
        <w:rPr>
          <w:rFonts w:ascii="Arial TUR" w:hAnsi="Arial TUR" w:cs="FrankRuehl"/>
          <w:spacing w:val="10"/>
          <w:sz w:val="22"/>
          <w:szCs w:val="28"/>
          <w:rtl/>
        </w:rPr>
        <w:t>א</w:t>
      </w:r>
      <w:r w:rsidRPr="007C3DF4">
        <w:rPr>
          <w:rFonts w:ascii="Arial TUR" w:hAnsi="Arial TUR" w:cs="FrankRuehl" w:hint="cs"/>
          <w:spacing w:val="10"/>
          <w:sz w:val="22"/>
          <w:szCs w:val="28"/>
          <w:rtl/>
        </w:rPr>
        <w:t xml:space="preserve">). </w:t>
      </w:r>
      <w:r w:rsidRPr="007C3DF4">
        <w:rPr>
          <w:rFonts w:ascii="Arial TUR" w:hAnsi="Arial TUR" w:cs="FrankRuehl"/>
          <w:spacing w:val="10"/>
          <w:sz w:val="22"/>
          <w:szCs w:val="28"/>
          <w:rtl/>
        </w:rPr>
        <w:t>מ</w:t>
      </w:r>
      <w:r w:rsidRPr="007C3DF4">
        <w:rPr>
          <w:rFonts w:ascii="Arial TUR" w:hAnsi="Arial TUR" w:cs="FrankRuehl" w:hint="cs"/>
          <w:spacing w:val="10"/>
          <w:sz w:val="22"/>
          <w:szCs w:val="28"/>
          <w:rtl/>
        </w:rPr>
        <w:t xml:space="preserve">י </w:t>
      </w:r>
      <w:r w:rsidRPr="007C3DF4">
        <w:rPr>
          <w:rFonts w:ascii="Arial TUR" w:hAnsi="Arial TUR" w:cs="FrankRuehl"/>
          <w:spacing w:val="10"/>
          <w:sz w:val="22"/>
          <w:szCs w:val="28"/>
          <w:rtl/>
        </w:rPr>
        <w:t>שה</w:t>
      </w:r>
      <w:r w:rsidRPr="007C3DF4">
        <w:rPr>
          <w:rFonts w:ascii="Arial TUR" w:hAnsi="Arial TUR" w:cs="FrankRuehl" w:hint="cs"/>
          <w:spacing w:val="10"/>
          <w:sz w:val="22"/>
          <w:szCs w:val="28"/>
          <w:rtl/>
        </w:rPr>
        <w:t xml:space="preserve">סית או שידל אדם החייב בשירות בכוח מזויין שלא ישרת בו או שלא יתייצב </w:t>
      </w:r>
      <w:r w:rsidRPr="007C3DF4">
        <w:rPr>
          <w:rFonts w:ascii="Arial TUR" w:hAnsi="Arial TUR" w:cs="FrankRuehl"/>
          <w:spacing w:val="10"/>
          <w:sz w:val="22"/>
          <w:szCs w:val="28"/>
          <w:rtl/>
        </w:rPr>
        <w:t>לפעול</w:t>
      </w:r>
      <w:r w:rsidRPr="007C3DF4">
        <w:rPr>
          <w:rFonts w:ascii="Arial TUR" w:hAnsi="Arial TUR" w:cs="FrankRuehl" w:hint="cs"/>
          <w:spacing w:val="10"/>
          <w:sz w:val="22"/>
          <w:szCs w:val="28"/>
          <w:rtl/>
        </w:rPr>
        <w:t>ה</w:t>
      </w:r>
      <w:r w:rsidRPr="007C3DF4">
        <w:rPr>
          <w:rFonts w:ascii="Arial TUR" w:hAnsi="Arial TUR" w:cs="FrankRuehl"/>
          <w:spacing w:val="10"/>
          <w:sz w:val="22"/>
          <w:szCs w:val="28"/>
          <w:rtl/>
        </w:rPr>
        <w:t xml:space="preserve"> </w:t>
      </w:r>
      <w:r w:rsidRPr="007C3DF4">
        <w:rPr>
          <w:rFonts w:ascii="Arial TUR" w:hAnsi="Arial TUR" w:cs="FrankRuehl" w:hint="cs"/>
          <w:spacing w:val="10"/>
          <w:sz w:val="22"/>
          <w:szCs w:val="28"/>
          <w:rtl/>
        </w:rPr>
        <w:t xml:space="preserve">צבאית, דינו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מא</w:t>
      </w:r>
      <w:r w:rsidRPr="007C3DF4">
        <w:rPr>
          <w:rFonts w:ascii="Arial TUR" w:hAnsi="Arial TUR" w:cs="FrankRuehl"/>
          <w:spacing w:val="10"/>
          <w:sz w:val="22"/>
          <w:szCs w:val="28"/>
          <w:rtl/>
        </w:rPr>
        <w:t>סר</w:t>
      </w:r>
      <w:r w:rsidRPr="007C3DF4">
        <w:rPr>
          <w:rFonts w:ascii="Arial TUR" w:hAnsi="Arial TUR" w:cs="FrankRuehl" w:hint="cs"/>
          <w:spacing w:val="10"/>
          <w:sz w:val="22"/>
          <w:szCs w:val="28"/>
          <w:rtl/>
        </w:rPr>
        <w:t xml:space="preserve"> חמש</w:t>
      </w:r>
      <w:r w:rsidRPr="007C3DF4">
        <w:rPr>
          <w:rFonts w:ascii="Arial TUR" w:hAnsi="Arial TUR" w:cs="FrankRuehl"/>
          <w:spacing w:val="10"/>
          <w:sz w:val="22"/>
          <w:szCs w:val="28"/>
          <w:rtl/>
        </w:rPr>
        <w:t xml:space="preserve"> ש</w:t>
      </w:r>
      <w:r w:rsidRPr="007C3DF4">
        <w:rPr>
          <w:rFonts w:ascii="Arial TUR" w:hAnsi="Arial TUR" w:cs="FrankRuehl" w:hint="cs"/>
          <w:spacing w:val="10"/>
          <w:sz w:val="22"/>
          <w:szCs w:val="28"/>
          <w:rtl/>
        </w:rPr>
        <w:t>נים.</w:t>
      </w: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(ב) [...]</w:t>
      </w: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(ג) [...]</w:t>
      </w: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spacing w:val="10"/>
          <w:sz w:val="22"/>
          <w:szCs w:val="28"/>
          <w:rtl/>
        </w:rPr>
        <w:t>(ד</w:t>
      </w:r>
      <w:r w:rsidRPr="007C3DF4">
        <w:rPr>
          <w:rFonts w:ascii="Arial TUR" w:hAnsi="Arial TUR" w:cs="FrankRuehl" w:hint="cs"/>
          <w:spacing w:val="10"/>
          <w:sz w:val="22"/>
          <w:szCs w:val="28"/>
          <w:rtl/>
        </w:rPr>
        <w:t>)</w:t>
      </w:r>
      <w:r w:rsidRPr="007C3DF4">
        <w:rPr>
          <w:rFonts w:ascii="Arial TUR" w:hAnsi="Arial TUR" w:cs="FrankRuehl"/>
          <w:spacing w:val="10"/>
          <w:sz w:val="22"/>
          <w:szCs w:val="28"/>
          <w:rtl/>
        </w:rPr>
        <w:tab/>
        <w:t>מ</w:t>
      </w:r>
      <w:r w:rsidRPr="007C3DF4">
        <w:rPr>
          <w:rFonts w:ascii="Arial TUR" w:hAnsi="Arial TUR" w:cs="FrankRuehl" w:hint="cs"/>
          <w:spacing w:val="10"/>
          <w:sz w:val="22"/>
          <w:szCs w:val="28"/>
          <w:rtl/>
        </w:rPr>
        <w:t xml:space="preserve">י </w:t>
      </w:r>
      <w:r w:rsidRPr="007C3DF4">
        <w:rPr>
          <w:rFonts w:ascii="Arial TUR" w:hAnsi="Arial TUR" w:cs="FrankRuehl"/>
          <w:spacing w:val="10"/>
          <w:sz w:val="22"/>
          <w:szCs w:val="28"/>
          <w:rtl/>
        </w:rPr>
        <w:t>שע</w:t>
      </w:r>
      <w:r w:rsidRPr="007C3DF4">
        <w:rPr>
          <w:rFonts w:ascii="Arial TUR" w:hAnsi="Arial TUR" w:cs="FrankRuehl" w:hint="cs"/>
          <w:spacing w:val="10"/>
          <w:sz w:val="22"/>
          <w:szCs w:val="28"/>
          <w:rtl/>
        </w:rPr>
        <w:t xml:space="preserve">בר עבירה לפי סעיף זה בתקופה שבה מתנהלות פעולות איבה צבאיות של ישראל או נגדה, דינו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מאס</w:t>
      </w:r>
      <w:r w:rsidRPr="007C3DF4">
        <w:rPr>
          <w:rFonts w:ascii="Arial TUR" w:hAnsi="Arial TUR" w:cs="FrankRuehl"/>
          <w:spacing w:val="10"/>
          <w:sz w:val="22"/>
          <w:szCs w:val="28"/>
          <w:rtl/>
        </w:rPr>
        <w:t>ר</w:t>
      </w:r>
      <w:r w:rsidRPr="007C3DF4">
        <w:rPr>
          <w:rFonts w:ascii="Arial TUR" w:hAnsi="Arial TUR" w:cs="FrankRuehl" w:hint="cs"/>
          <w:spacing w:val="10"/>
          <w:sz w:val="22"/>
          <w:szCs w:val="28"/>
          <w:rtl/>
        </w:rPr>
        <w:t xml:space="preserve"> ח</w:t>
      </w:r>
      <w:r w:rsidRPr="007C3DF4">
        <w:rPr>
          <w:rFonts w:ascii="Arial TUR" w:hAnsi="Arial TUR" w:cs="FrankRuehl"/>
          <w:spacing w:val="10"/>
          <w:sz w:val="22"/>
          <w:szCs w:val="28"/>
          <w:rtl/>
        </w:rPr>
        <w:t>מ</w:t>
      </w:r>
      <w:r w:rsidRPr="007C3DF4">
        <w:rPr>
          <w:rFonts w:ascii="Arial TUR" w:hAnsi="Arial TUR" w:cs="FrankRuehl" w:hint="cs"/>
          <w:spacing w:val="10"/>
          <w:sz w:val="22"/>
          <w:szCs w:val="28"/>
          <w:rtl/>
        </w:rPr>
        <w:t>ש-עשרה שנים.</w:t>
      </w:r>
    </w:p>
    <w:p w:rsidR="007C3DF4" w:rsidRPr="00472D93" w:rsidRDefault="007C3DF4" w:rsidP="00472D93">
      <w:pPr>
        <w:pStyle w:val="Ruller41"/>
        <w:rPr>
          <w:rFonts w:ascii="Century" w:hAnsi="Century"/>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בא כוח העותרת בבג"ץ 3498/24 טען, בין היתר, כי איום בעזיבת הארץ נוגד לא רק את היותה של המדינה יהודית ודמוקרטית, אלא נוגד את קיומה של המדינה כפשוטו. העותרת הדגישה כי הרב יוסף ממלא תפקיד ציבורי על פי דין, והשפעתו רבה על הציבור הנוהה אחריו; כי בהמלצת ועדת הפרס נזכר כי הרב יוסף משמש כראשון לציון הרב הראשי לישראל ונשיא בית הדין הרבני הגדול, ומכאן המשקל שיש </w:t>
      </w:r>
      <w:proofErr w:type="spellStart"/>
      <w:r w:rsidRPr="007C3DF4">
        <w:rPr>
          <w:rFonts w:ascii="Arial TUR" w:hAnsi="Arial TUR" w:cs="FrankRuehl" w:hint="cs"/>
          <w:spacing w:val="10"/>
          <w:sz w:val="22"/>
          <w:szCs w:val="28"/>
          <w:rtl/>
        </w:rPr>
        <w:t>ליתן</w:t>
      </w:r>
      <w:proofErr w:type="spellEnd"/>
      <w:r w:rsidRPr="007C3DF4">
        <w:rPr>
          <w:rFonts w:ascii="Arial TUR" w:hAnsi="Arial TUR" w:cs="FrankRuehl" w:hint="cs"/>
          <w:spacing w:val="10"/>
          <w:sz w:val="22"/>
          <w:szCs w:val="28"/>
          <w:rtl/>
        </w:rPr>
        <w:t xml:space="preserve"> להחלטת הנציב שהמליץ על העברתו מתפקידו; וכי הרב יוסף חוטא פעם אחר פעם בירידה לזירה הפוליטית על אף תפקידו הממלכתי. לטענת העותרת, דווקא מאחר שהאיום בעזיבת הארץ נאמר על ידי הרב יוסף </w:t>
      </w:r>
      <w:r w:rsidRPr="007C3DF4">
        <w:rPr>
          <w:rFonts w:ascii="Century" w:hAnsi="Century" w:cs="Miriam" w:hint="cs"/>
          <w:b/>
          <w:sz w:val="22"/>
          <w:rtl/>
        </w:rPr>
        <w:t>לאחר</w:t>
      </w:r>
      <w:r w:rsidRPr="007C3DF4">
        <w:rPr>
          <w:rFonts w:ascii="Arial TUR" w:hAnsi="Arial TUR" w:cs="FrankRuehl" w:hint="cs"/>
          <w:spacing w:val="10"/>
          <w:sz w:val="22"/>
          <w:szCs w:val="28"/>
          <w:rtl/>
        </w:rPr>
        <w:t xml:space="preserve"> שוועדת הפרס המליצה את שהמליצה, ראוי כי השר יעשה את הדבר המינימלי שבתחום סמכותו ועל פי תקנון הפרס, ויחזיר את ההמלצה לדיון נוסף בוועדה.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העותרות הדגישו כי לדידן התבטאויותיו של הרב יוסף אינן "חיצוניות" לפועלו בתחום התורני, ומכל מקום, הן נכנסות בגדר אותם מקרים חריגים וקיצוניים שהפסיקה הייתה נכונה להכיר בהם כמצדיקים חריגה מכלל אי ההתערבות בהמלצות ועדת הפרס. לטענת העותרות, פרס ישראל הוא פרס ממלכתי, וקשה להלום כי יינתן למי שבדבריו קורא לחסידיו לרדת מהארץ אם יידרשו לתרום את חלקם ולהתגייס לצה"ל.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עמדנו בתמצית שבתמצית על טיעוני העותרות, ונציין כי הכתובים אינם יכולים להעביר את הלהט והטיעון הנרגש של העותרות על רקע הימים הקשים שבהם נתונה המדינה, ועל כך שהעיטור הממלכתי הגבוה ביותר באמתחתה של המדינה יינתן למי שפגע "בציפור הנפש של החברה המדממת".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14.</w:t>
      </w: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עמדת המשיבים כפי שהובאה בפנינו בכתובים ובעל פה, היא כי בהתאם לפסיקתו העקבית של בית משפט זה בנושא פרס ישראל, העתירות אינן מגלות עילה משפטית לבטל את בחירתה של ועדת השופטים והחלטת השר לאשרה. כמו כן, לטענת המשיבים, אין לקבוע בנסיבות העניין כי על השר לעשות שימוש בסמכות המוקנית לו </w:t>
      </w:r>
      <w:r w:rsidRPr="007C3DF4">
        <w:rPr>
          <w:rFonts w:ascii="Arial TUR" w:hAnsi="Arial TUR" w:cs="FrankRuehl" w:hint="cs"/>
          <w:spacing w:val="10"/>
          <w:sz w:val="22"/>
          <w:szCs w:val="28"/>
          <w:rtl/>
        </w:rPr>
        <w:lastRenderedPageBreak/>
        <w:t xml:space="preserve">בתקנון ולהורות לוועדה לערוך בעניינו של המשיב דיון חוזר. בתמצית, נטען כי החלטת הוועדה לבחור במשיב כזוכה בפרס התמקדה בפועלו של המשיב בתחום הספרות התורנית והישגיו בתחום זה. לאור אופיו המקצועי והעצמאי של הפרס, ככלל אין רלוונטיות לשיקולים "חיצוניים" כגון התבטאויות כאלו ואחרות של המועמד, מקוממות וחמורות ככל שתהיינה. התחשבות בשיקולים "חיצוניים" כאמור תיתכן רק בנסיבות חריגות וקיצוניות שהמקרה דנן אינו נמנה עליהן, כך שדין העתירות להידחות. </w:t>
      </w:r>
    </w:p>
    <w:p w:rsidR="007C3DF4" w:rsidRPr="007C3DF4" w:rsidRDefault="007C3DF4" w:rsidP="007C3DF4">
      <w:pPr>
        <w:tabs>
          <w:tab w:val="left" w:pos="800"/>
        </w:tabs>
        <w:spacing w:line="360" w:lineRule="auto"/>
        <w:jc w:val="both"/>
        <w:rPr>
          <w:rFonts w:ascii="Century" w:hAnsi="Century" w:cs="Miriam"/>
          <w:b/>
          <w:sz w:val="22"/>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דיון והכרעה</w:t>
      </w:r>
    </w:p>
    <w:p w:rsidR="007C3DF4" w:rsidRPr="007C3DF4" w:rsidRDefault="007C3DF4" w:rsidP="007C3DF4">
      <w:pPr>
        <w:tabs>
          <w:tab w:val="left" w:pos="800"/>
        </w:tabs>
        <w:spacing w:line="360" w:lineRule="auto"/>
        <w:jc w:val="both"/>
        <w:rPr>
          <w:rFonts w:ascii="Century" w:hAnsi="Century" w:cs="Miriam"/>
          <w:b/>
          <w:sz w:val="22"/>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 xml:space="preserve">המסגרת הנורמטיבית </w:t>
      </w:r>
      <w:r w:rsidRPr="007C3DF4">
        <w:rPr>
          <w:rFonts w:ascii="Century" w:hAnsi="Century" w:cs="Miriam"/>
          <w:b/>
          <w:sz w:val="22"/>
          <w:rtl/>
        </w:rPr>
        <w:t>–</w:t>
      </w:r>
      <w:r w:rsidRPr="007C3DF4">
        <w:rPr>
          <w:rFonts w:ascii="Century" w:hAnsi="Century" w:cs="Miriam" w:hint="cs"/>
          <w:b/>
          <w:sz w:val="22"/>
          <w:rtl/>
        </w:rPr>
        <w:t xml:space="preserve"> הפסיקה בעניין פרס ישראל</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15.</w:t>
      </w:r>
      <w:r w:rsidRPr="007C3DF4">
        <w:rPr>
          <w:rFonts w:ascii="Arial TUR" w:hAnsi="Arial TUR" w:cs="FrankRuehl" w:hint="cs"/>
          <w:spacing w:val="10"/>
          <w:sz w:val="22"/>
          <w:szCs w:val="28"/>
          <w:rtl/>
        </w:rPr>
        <w:tab/>
      </w:r>
      <w:r w:rsidRPr="007C3DF4">
        <w:rPr>
          <w:rFonts w:ascii="Century" w:hAnsi="Century" w:cs="Miriam" w:hint="cs"/>
          <w:b/>
          <w:sz w:val="22"/>
          <w:rtl/>
        </w:rPr>
        <w:t>בהחלטת הביניים בעניין</w:t>
      </w:r>
      <w:r w:rsidRPr="007C3DF4">
        <w:rPr>
          <w:rFonts w:ascii="Arial TUR" w:hAnsi="Arial TUR" w:cs="FrankRuehl" w:hint="cs"/>
          <w:spacing w:val="10"/>
          <w:sz w:val="22"/>
          <w:szCs w:val="28"/>
          <w:rtl/>
        </w:rPr>
        <w:t xml:space="preserve">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Arial TUR" w:hAnsi="Arial TUR" w:cs="FrankRuehl" w:hint="cs"/>
          <w:spacing w:val="10"/>
          <w:sz w:val="22"/>
          <w:szCs w:val="28"/>
          <w:rtl/>
        </w:rPr>
        <w:t xml:space="preserve"> נאמר:</w:t>
      </w:r>
    </w:p>
    <w:p w:rsidR="007C3DF4" w:rsidRPr="007C3DF4" w:rsidRDefault="007C3DF4" w:rsidP="007C3DF4">
      <w:pPr>
        <w:tabs>
          <w:tab w:val="left" w:pos="800"/>
        </w:tabs>
        <w:spacing w:line="360" w:lineRule="auto"/>
        <w:jc w:val="both"/>
        <w:rPr>
          <w:rFonts w:ascii="Arial TUR" w:hAnsi="Arial TUR" w:cs="FrankRuehl"/>
          <w:spacing w:val="10"/>
          <w:sz w:val="22"/>
          <w:szCs w:val="28"/>
        </w:rPr>
      </w:pPr>
    </w:p>
    <w:p w:rsidR="007C3DF4" w:rsidRPr="007C3DF4" w:rsidRDefault="007C3DF4" w:rsidP="007C3DF4">
      <w:pPr>
        <w:ind w:left="1644" w:right="1276"/>
        <w:jc w:val="both"/>
        <w:rPr>
          <w:rFonts w:ascii="Arial TUR" w:hAnsi="Arial TUR" w:cs="FrankRuehl"/>
          <w:spacing w:val="10"/>
          <w:sz w:val="22"/>
          <w:szCs w:val="28"/>
        </w:rPr>
      </w:pPr>
      <w:r w:rsidRPr="007C3DF4">
        <w:rPr>
          <w:rFonts w:ascii="Arial TUR" w:hAnsi="Arial TUR" w:cs="FrankRuehl" w:hint="cs"/>
          <w:spacing w:val="10"/>
          <w:sz w:val="22"/>
          <w:szCs w:val="28"/>
          <w:rtl/>
        </w:rPr>
        <w:t>"</w:t>
      </w:r>
      <w:r w:rsidRPr="007C3DF4">
        <w:rPr>
          <w:rFonts w:ascii="Arial TUR" w:hAnsi="Arial TUR" w:cs="FrankRuehl"/>
          <w:spacing w:val="10"/>
          <w:sz w:val="22"/>
          <w:szCs w:val="28"/>
          <w:rtl/>
        </w:rPr>
        <w:t xml:space="preserve">קורפוס הפסיקה שנצטבר בנושא פרס ישראל עומד לפנינו: על עצמאות שיקול הדעת המקצועי של חברי ועדת השופטים – אין חולק. על אופיו המקצועי הטהור של הפרס שעליו יוקרתו והמוניטין שלו – אין חולק. על כך שככלל, לצורך הענקת הפרס אין רלוונטיות להתבטאויות </w:t>
      </w:r>
      <w:r w:rsidRPr="007C3DF4">
        <w:rPr>
          <w:rFonts w:ascii="Arial TUR" w:hAnsi="Arial TUR" w:cs="FrankRuehl" w:hint="cs"/>
          <w:spacing w:val="10"/>
          <w:sz w:val="22"/>
          <w:szCs w:val="28"/>
          <w:rtl/>
        </w:rPr>
        <w:t>'</w:t>
      </w:r>
      <w:r w:rsidRPr="007C3DF4">
        <w:rPr>
          <w:rFonts w:ascii="Arial TUR" w:hAnsi="Arial TUR" w:cs="FrankRuehl"/>
          <w:spacing w:val="10"/>
          <w:sz w:val="22"/>
          <w:szCs w:val="28"/>
          <w:rtl/>
        </w:rPr>
        <w:t>פרטיות</w:t>
      </w:r>
      <w:r w:rsidRPr="007C3DF4">
        <w:rPr>
          <w:rFonts w:ascii="Arial TUR" w:hAnsi="Arial TUR" w:cs="FrankRuehl" w:hint="cs"/>
          <w:spacing w:val="10"/>
          <w:sz w:val="22"/>
          <w:szCs w:val="28"/>
          <w:rtl/>
        </w:rPr>
        <w:t xml:space="preserve">' </w:t>
      </w:r>
      <w:r w:rsidRPr="007C3DF4">
        <w:rPr>
          <w:rFonts w:ascii="Arial TUR" w:hAnsi="Arial TUR" w:cs="FrankRuehl"/>
          <w:spacing w:val="10"/>
          <w:sz w:val="22"/>
          <w:szCs w:val="28"/>
          <w:rtl/>
        </w:rPr>
        <w:t>חוץ-מקצועיות של הזוכה בפרס – אין חולק</w:t>
      </w:r>
      <w:r w:rsidRPr="007C3DF4">
        <w:rPr>
          <w:rFonts w:ascii="Arial TUR" w:hAnsi="Arial TUR" w:cs="FrankRuehl" w:hint="cs"/>
          <w:spacing w:val="10"/>
          <w:sz w:val="22"/>
          <w:szCs w:val="28"/>
          <w:rtl/>
        </w:rPr>
        <w:t>".</w:t>
      </w:r>
    </w:p>
    <w:p w:rsidR="007C3DF4" w:rsidRPr="007C3DF4" w:rsidRDefault="007C3DF4" w:rsidP="007C3DF4">
      <w:pPr>
        <w:tabs>
          <w:tab w:val="left" w:pos="800"/>
        </w:tabs>
        <w:spacing w:line="360" w:lineRule="auto"/>
        <w:jc w:val="both"/>
        <w:rPr>
          <w:rFonts w:ascii="Arial TUR" w:hAnsi="Arial TUR" w:cs="FrankRuehl"/>
          <w:spacing w:val="10"/>
          <w:sz w:val="22"/>
          <w:szCs w:val="28"/>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זו התורה כולה על רגל אחת ואידך </w:t>
      </w:r>
      <w:proofErr w:type="spellStart"/>
      <w:r w:rsidRPr="007C3DF4">
        <w:rPr>
          <w:rFonts w:ascii="Arial TUR" w:hAnsi="Arial TUR" w:cs="FrankRuehl" w:hint="cs"/>
          <w:spacing w:val="10"/>
          <w:sz w:val="22"/>
          <w:szCs w:val="28"/>
          <w:rtl/>
        </w:rPr>
        <w:t>זיל</w:t>
      </w:r>
      <w:proofErr w:type="spellEnd"/>
      <w:r w:rsidRPr="007C3DF4">
        <w:rPr>
          <w:rFonts w:ascii="Arial TUR" w:hAnsi="Arial TUR" w:cs="FrankRuehl" w:hint="cs"/>
          <w:spacing w:val="10"/>
          <w:sz w:val="22"/>
          <w:szCs w:val="28"/>
          <w:rtl/>
        </w:rPr>
        <w:t xml:space="preserve"> גמור.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16.</w:t>
      </w:r>
      <w:r w:rsidRPr="007C3DF4">
        <w:rPr>
          <w:rFonts w:ascii="Arial TUR" w:hAnsi="Arial TUR" w:cs="FrankRuehl" w:hint="cs"/>
          <w:spacing w:val="10"/>
          <w:sz w:val="22"/>
          <w:szCs w:val="28"/>
          <w:rtl/>
        </w:rPr>
        <w:tab/>
        <w:t>ב</w:t>
      </w:r>
      <w:r w:rsidRPr="007C3DF4">
        <w:rPr>
          <w:rFonts w:ascii="Century" w:hAnsi="Century" w:cs="FrankRuehl"/>
          <w:spacing w:val="10"/>
          <w:sz w:val="22"/>
          <w:szCs w:val="28"/>
          <w:rtl/>
        </w:rPr>
        <w:t>בג</w:t>
      </w:r>
      <w:r w:rsidRPr="007C3DF4">
        <w:rPr>
          <w:rFonts w:ascii="Century" w:hAnsi="Century" w:cs="FrankRuehl" w:hint="cs"/>
          <w:spacing w:val="10"/>
          <w:sz w:val="22"/>
          <w:szCs w:val="28"/>
          <w:rtl/>
        </w:rPr>
        <w:t>"</w:t>
      </w:r>
      <w:r w:rsidRPr="007C3DF4">
        <w:rPr>
          <w:rFonts w:ascii="Century" w:hAnsi="Century" w:cs="FrankRuehl"/>
          <w:spacing w:val="10"/>
          <w:sz w:val="22"/>
          <w:szCs w:val="28"/>
          <w:rtl/>
        </w:rPr>
        <w:t xml:space="preserve">ץ 2199/21 </w:t>
      </w:r>
      <w:r w:rsidRPr="007C3DF4">
        <w:rPr>
          <w:rFonts w:ascii="Century" w:hAnsi="Century" w:cs="Miriam"/>
          <w:b/>
          <w:sz w:val="22"/>
          <w:rtl/>
        </w:rPr>
        <w:t>ועדת השופטים להענקת פרס ישראל לשנת תשפ"א בתחום חקר המתמטיקה, חדר מדעי המחשב נ' שר החינוך</w:t>
      </w:r>
      <w:r w:rsidRPr="007C3DF4">
        <w:rPr>
          <w:rFonts w:ascii="Century" w:hAnsi="Century" w:cs="FrankRuehl" w:hint="cs"/>
          <w:spacing w:val="10"/>
          <w:sz w:val="22"/>
          <w:szCs w:val="28"/>
          <w:rtl/>
        </w:rPr>
        <w:t xml:space="preserve"> </w:t>
      </w:r>
      <w:r w:rsidRPr="007C3DF4">
        <w:rPr>
          <w:rFonts w:ascii="Arial TUR" w:hAnsi="Arial TUR" w:cs="FrankRuehl"/>
          <w:spacing w:val="10"/>
          <w:sz w:val="22"/>
          <w:szCs w:val="28"/>
          <w:rtl/>
        </w:rPr>
        <w:t>(‏12.8.2021)</w:t>
      </w:r>
      <w:r w:rsidRPr="007C3DF4">
        <w:rPr>
          <w:rFonts w:ascii="Arial TUR" w:hAnsi="Arial TUR" w:cs="FrankRuehl" w:hint="cs"/>
          <w:spacing w:val="10"/>
          <w:sz w:val="22"/>
          <w:szCs w:val="28"/>
          <w:rtl/>
        </w:rPr>
        <w:t xml:space="preserve"> (להלן: 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Arial TUR" w:hAnsi="Arial TUR" w:cs="FrankRuehl" w:hint="cs"/>
          <w:spacing w:val="10"/>
          <w:sz w:val="22"/>
          <w:szCs w:val="28"/>
          <w:rtl/>
        </w:rPr>
        <w:t>), אזכרתי את הפסיקה שהלכה והצטברה בעניין פרס ישראל, ולמען נוחותו של הקורא, אחזור בתמצית על הסקירה.</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spacing w:val="10"/>
          <w:sz w:val="22"/>
          <w:szCs w:val="28"/>
          <w:rtl/>
        </w:rPr>
        <w:tab/>
      </w:r>
      <w:r w:rsidRPr="007C3DF4">
        <w:rPr>
          <w:rFonts w:ascii="Century" w:hAnsi="Century" w:cs="FrankRuehl" w:hint="cs"/>
          <w:spacing w:val="10"/>
          <w:sz w:val="22"/>
          <w:szCs w:val="28"/>
          <w:rtl/>
        </w:rPr>
        <w:t xml:space="preserve">(-) </w:t>
      </w:r>
      <w:r w:rsidRPr="007C3DF4">
        <w:rPr>
          <w:rFonts w:ascii="Century" w:hAnsi="Century" w:cs="FrankRuehl"/>
          <w:spacing w:val="10"/>
          <w:sz w:val="22"/>
          <w:szCs w:val="28"/>
          <w:rtl/>
        </w:rPr>
        <w:t>בג"ץ 2205/97</w:t>
      </w:r>
      <w:r w:rsidRPr="007C3DF4">
        <w:rPr>
          <w:rFonts w:ascii="Century" w:hAnsi="Century" w:cs="FrankRuehl" w:hint="cs"/>
          <w:spacing w:val="10"/>
          <w:sz w:val="22"/>
          <w:szCs w:val="28"/>
          <w:rtl/>
        </w:rPr>
        <w:t xml:space="preserve"> </w:t>
      </w:r>
      <w:r w:rsidRPr="007C3DF4">
        <w:rPr>
          <w:rFonts w:ascii="Century" w:hAnsi="Century" w:cs="Miriam" w:hint="cs"/>
          <w:b/>
          <w:sz w:val="22"/>
          <w:rtl/>
        </w:rPr>
        <w:t>מסאלה נ' שר החינוך והתרבות</w:t>
      </w:r>
      <w:r w:rsidRPr="007C3DF4">
        <w:rPr>
          <w:rFonts w:ascii="Century" w:hAnsi="Century" w:cs="FrankRuehl" w:hint="cs"/>
          <w:spacing w:val="10"/>
          <w:sz w:val="22"/>
          <w:szCs w:val="28"/>
          <w:rtl/>
        </w:rPr>
        <w:t xml:space="preserve">, פ"ד נא(1) 233 (1997) (להלן: </w:t>
      </w:r>
      <w:r w:rsidRPr="007C3DF4">
        <w:rPr>
          <w:rFonts w:ascii="Century" w:hAnsi="Century" w:cs="FrankRuehl" w:hint="eastAsia"/>
          <w:spacing w:val="10"/>
          <w:sz w:val="22"/>
          <w:szCs w:val="28"/>
          <w:rtl/>
        </w:rPr>
        <w:t>עניין</w:t>
      </w:r>
      <w:r w:rsidRPr="007C3DF4">
        <w:rPr>
          <w:rFonts w:ascii="Century" w:hAnsi="Century" w:cs="Miriam"/>
          <w:b/>
          <w:spacing w:val="10"/>
          <w:sz w:val="22"/>
          <w:szCs w:val="28"/>
          <w:rtl/>
        </w:rPr>
        <w:t xml:space="preserve"> </w:t>
      </w:r>
      <w:r w:rsidRPr="007C3DF4">
        <w:rPr>
          <w:rFonts w:ascii="Century" w:hAnsi="Century" w:cs="Miriam" w:hint="cs"/>
          <w:b/>
          <w:sz w:val="22"/>
          <w:rtl/>
        </w:rPr>
        <w:t>שניצר</w:t>
      </w:r>
      <w:r w:rsidRPr="007C3DF4">
        <w:rPr>
          <w:rFonts w:ascii="Century" w:hAnsi="Century" w:cs="FrankRuehl" w:hint="cs"/>
          <w:spacing w:val="10"/>
          <w:sz w:val="22"/>
          <w:szCs w:val="28"/>
          <w:rtl/>
        </w:rPr>
        <w:t xml:space="preserve">) </w:t>
      </w:r>
      <w:r w:rsidRPr="007C3DF4">
        <w:rPr>
          <w:rFonts w:ascii="Century" w:hAnsi="Century" w:cs="FrankRuehl" w:hint="eastAsia"/>
          <w:spacing w:val="10"/>
          <w:sz w:val="22"/>
          <w:szCs w:val="28"/>
          <w:rtl/>
        </w:rPr>
        <w:t>–</w:t>
      </w:r>
      <w:r w:rsidRPr="007C3DF4">
        <w:rPr>
          <w:rFonts w:ascii="Century" w:hAnsi="Century" w:cs="FrankRuehl" w:hint="cs"/>
          <w:spacing w:val="10"/>
          <w:sz w:val="22"/>
          <w:szCs w:val="28"/>
          <w:rtl/>
        </w:rPr>
        <w:t xml:space="preserve"> שם נטען כי לא היה מקום לאשר את המלצת הוועדה להעניק את הפרס לעיתונאי שמואל שניצר לנוכח דבריו הכוללים דברי הסתה לגזענות כלפי בני </w:t>
      </w:r>
      <w:proofErr w:type="spellStart"/>
      <w:r w:rsidRPr="007C3DF4">
        <w:rPr>
          <w:rFonts w:ascii="Century" w:hAnsi="Century" w:cs="FrankRuehl" w:hint="cs"/>
          <w:spacing w:val="10"/>
          <w:sz w:val="22"/>
          <w:szCs w:val="28"/>
          <w:rtl/>
        </w:rPr>
        <w:t>הפלאשמורה</w:t>
      </w:r>
      <w:proofErr w:type="spellEnd"/>
      <w:r w:rsidRPr="007C3DF4">
        <w:rPr>
          <w:rFonts w:ascii="Century" w:hAnsi="Century" w:cs="FrankRuehl" w:hint="cs"/>
          <w:spacing w:val="10"/>
          <w:sz w:val="22"/>
          <w:szCs w:val="28"/>
          <w:rtl/>
        </w:rPr>
        <w:t xml:space="preserve">. בין היתר, שניצר התייחס במאמרו לבני </w:t>
      </w:r>
      <w:proofErr w:type="spellStart"/>
      <w:r w:rsidRPr="007C3DF4">
        <w:rPr>
          <w:rFonts w:ascii="Century" w:hAnsi="Century" w:cs="FrankRuehl" w:hint="cs"/>
          <w:spacing w:val="10"/>
          <w:sz w:val="22"/>
          <w:szCs w:val="28"/>
          <w:rtl/>
        </w:rPr>
        <w:t>הפלאשמורה</w:t>
      </w:r>
      <w:proofErr w:type="spellEnd"/>
      <w:r w:rsidRPr="007C3DF4">
        <w:rPr>
          <w:rFonts w:ascii="Century" w:hAnsi="Century" w:cs="FrankRuehl" w:hint="cs"/>
          <w:spacing w:val="10"/>
          <w:sz w:val="22"/>
          <w:szCs w:val="28"/>
          <w:rtl/>
        </w:rPr>
        <w:t xml:space="preserve"> כאל "מפיצי מוות, בהיותם נושאי מחלות" המסכנים את בריאות הציבור בישראל (פסקה 2 לפסק הדין). בית המשפט הורה להחזיר את עניינו של </w:t>
      </w:r>
      <w:r w:rsidRPr="007C3DF4">
        <w:rPr>
          <w:rFonts w:ascii="Century" w:hAnsi="Century" w:cs="Miriam" w:hint="cs"/>
          <w:b/>
          <w:sz w:val="22"/>
          <w:rtl/>
        </w:rPr>
        <w:t>שניצר</w:t>
      </w:r>
      <w:r w:rsidRPr="007C3DF4">
        <w:rPr>
          <w:rFonts w:ascii="Century" w:hAnsi="Century" w:cs="FrankRuehl" w:hint="cs"/>
          <w:spacing w:val="10"/>
          <w:sz w:val="22"/>
          <w:szCs w:val="28"/>
          <w:rtl/>
        </w:rPr>
        <w:t xml:space="preserve"> לדיון חוזר בוועדה, בשל </w:t>
      </w:r>
      <w:r w:rsidRPr="007C3DF4">
        <w:rPr>
          <w:rFonts w:ascii="Century" w:hAnsi="Century" w:cs="Miriam" w:hint="cs"/>
          <w:b/>
          <w:sz w:val="22"/>
          <w:rtl/>
        </w:rPr>
        <w:t xml:space="preserve">פגם דיוני </w:t>
      </w:r>
      <w:r w:rsidRPr="007C3DF4">
        <w:rPr>
          <w:rFonts w:ascii="Century" w:hAnsi="Century" w:cs="FrankRuehl" w:hint="cs"/>
          <w:spacing w:val="10"/>
          <w:sz w:val="22"/>
          <w:szCs w:val="28"/>
          <w:rtl/>
        </w:rPr>
        <w:t xml:space="preserve">שנפל בהליך קבלת ההחלטה, לאחר שהתברר כי הוועדה ושר החינוך לא היו מודעים </w:t>
      </w:r>
      <w:r w:rsidRPr="007C3DF4">
        <w:rPr>
          <w:rFonts w:ascii="Century" w:hAnsi="Century" w:cs="FrankRuehl" w:hint="cs"/>
          <w:spacing w:val="10"/>
          <w:sz w:val="22"/>
          <w:szCs w:val="28"/>
          <w:rtl/>
        </w:rPr>
        <w:lastRenderedPageBreak/>
        <w:t xml:space="preserve">להתבטאויותיו הנ"ל (לשלמות התמונה יצוין כי בתום הדיון החוזר שנערך בוועדה, לא הושגה הסכמה פה אחד להמליץ על הענקת הפרס </w:t>
      </w:r>
      <w:proofErr w:type="spellStart"/>
      <w:r w:rsidRPr="007C3DF4">
        <w:rPr>
          <w:rFonts w:ascii="Century" w:hAnsi="Century" w:cs="FrankRuehl" w:hint="cs"/>
          <w:spacing w:val="10"/>
          <w:sz w:val="22"/>
          <w:szCs w:val="28"/>
          <w:rtl/>
        </w:rPr>
        <w:t>לשניצר</w:t>
      </w:r>
      <w:proofErr w:type="spellEnd"/>
      <w:r w:rsidRPr="007C3DF4">
        <w:rPr>
          <w:rFonts w:ascii="Century" w:hAnsi="Century" w:cs="FrankRuehl" w:hint="cs"/>
          <w:spacing w:val="10"/>
          <w:sz w:val="22"/>
          <w:szCs w:val="28"/>
          <w:rtl/>
        </w:rPr>
        <w:t xml:space="preserve">).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spacing w:val="10"/>
          <w:szCs w:val="28"/>
          <w:rtl/>
        </w:rPr>
        <w:tab/>
        <w:t>(-)</w:t>
      </w:r>
      <w:r w:rsidRPr="007C3DF4">
        <w:rPr>
          <w:rFonts w:ascii="Century" w:hAnsi="Century" w:cs="FrankRuehl" w:hint="cs"/>
          <w:spacing w:val="10"/>
          <w:sz w:val="22"/>
          <w:szCs w:val="28"/>
          <w:rtl/>
        </w:rPr>
        <w:t xml:space="preserve"> </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1933/98</w:t>
      </w:r>
      <w:r w:rsidRPr="007C3DF4">
        <w:rPr>
          <w:rFonts w:ascii="Century" w:hAnsi="Century" w:cs="FrankRuehl"/>
          <w:spacing w:val="10"/>
          <w:szCs w:val="28"/>
          <w:rtl/>
        </w:rPr>
        <w:t xml:space="preserve"> </w:t>
      </w:r>
      <w:r w:rsidRPr="007C3DF4">
        <w:rPr>
          <w:rFonts w:ascii="Century" w:hAnsi="Century" w:cs="Miriam" w:hint="cs"/>
          <w:b/>
          <w:rtl/>
        </w:rPr>
        <w:t>הנדל נ' שר החינוך, התרבות והספורט</w:t>
      </w:r>
      <w:r w:rsidRPr="007C3DF4">
        <w:rPr>
          <w:rtl/>
        </w:rPr>
        <w:t xml:space="preserve"> </w:t>
      </w:r>
      <w:r w:rsidRPr="007C3DF4">
        <w:rPr>
          <w:rFonts w:ascii="Century" w:hAnsi="Century" w:cs="FrankRuehl"/>
          <w:spacing w:val="10"/>
          <w:szCs w:val="28"/>
          <w:rtl/>
        </w:rPr>
        <w:t>(25.3.1998)</w:t>
      </w:r>
      <w:r w:rsidRPr="007C3DF4">
        <w:rPr>
          <w:rFonts w:ascii="Century" w:hAnsi="Century" w:cs="FrankRuehl" w:hint="cs"/>
          <w:spacing w:val="10"/>
          <w:szCs w:val="28"/>
          <w:rtl/>
        </w:rPr>
        <w:t xml:space="preserve"> (להלן: </w:t>
      </w:r>
      <w:r w:rsidRPr="007C3DF4">
        <w:rPr>
          <w:rFonts w:ascii="Century" w:hAnsi="Century" w:cs="FrankRuehl"/>
          <w:spacing w:val="10"/>
          <w:szCs w:val="28"/>
          <w:rtl/>
        </w:rPr>
        <w:t xml:space="preserve">עניין </w:t>
      </w:r>
      <w:r w:rsidRPr="007C3DF4">
        <w:rPr>
          <w:rFonts w:ascii="Century" w:hAnsi="Century" w:cs="Miriam"/>
          <w:b/>
          <w:sz w:val="22"/>
          <w:rtl/>
        </w:rPr>
        <w:t>עמוס עוז</w:t>
      </w:r>
      <w:r w:rsidRPr="007C3DF4">
        <w:rPr>
          <w:rFonts w:ascii="Century" w:hAnsi="Century" w:cs="FrankRuehl"/>
          <w:spacing w:val="10"/>
          <w:szCs w:val="28"/>
          <w:rtl/>
        </w:rPr>
        <w:t>) – שם נטען כי הסופר עמוס עוז אינו ראוי לקבלת פרס ישראל לספרות ולשירה בשל מאמר שפרסם, שלטענת העותר היה בו "משום פגיעה קשה בציבור רחב"</w:t>
      </w:r>
      <w:r w:rsidRPr="007C3DF4">
        <w:rPr>
          <w:rFonts w:ascii="Century" w:hAnsi="Century" w:cs="FrankRuehl" w:hint="cs"/>
          <w:spacing w:val="10"/>
          <w:szCs w:val="28"/>
          <w:rtl/>
        </w:rPr>
        <w:t xml:space="preserve">. העתירה נדחתה.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t xml:space="preserve">(-) </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2348/00</w:t>
      </w:r>
      <w:r w:rsidRPr="007C3DF4">
        <w:rPr>
          <w:rFonts w:ascii="Arial TUR" w:hAnsi="Arial TUR" w:cs="FrankRuehl"/>
          <w:spacing w:val="10"/>
          <w:sz w:val="22"/>
          <w:szCs w:val="28"/>
          <w:rtl/>
        </w:rPr>
        <w:t xml:space="preserve"> </w:t>
      </w:r>
      <w:r w:rsidRPr="007C3DF4">
        <w:rPr>
          <w:rFonts w:ascii="Century" w:hAnsi="Century" w:cs="Miriam" w:hint="cs"/>
          <w:b/>
          <w:sz w:val="22"/>
          <w:rtl/>
        </w:rPr>
        <w:t xml:space="preserve">סיעת </w:t>
      </w:r>
      <w:proofErr w:type="spellStart"/>
      <w:r w:rsidRPr="007C3DF4">
        <w:rPr>
          <w:rFonts w:ascii="Century" w:hAnsi="Century" w:cs="Miriam" w:hint="cs"/>
          <w:b/>
          <w:sz w:val="22"/>
          <w:rtl/>
        </w:rPr>
        <w:t>המפד"ל</w:t>
      </w:r>
      <w:proofErr w:type="spellEnd"/>
      <w:r w:rsidRPr="007C3DF4">
        <w:rPr>
          <w:rFonts w:ascii="Century" w:hAnsi="Century" w:cs="Miriam" w:hint="cs"/>
          <w:b/>
          <w:sz w:val="22"/>
          <w:rtl/>
        </w:rPr>
        <w:t>, המפלגה הדתית לאומית בארץ ישראל נ' שר החינוך</w:t>
      </w:r>
      <w:r w:rsidRPr="007C3DF4">
        <w:rPr>
          <w:sz w:val="22"/>
          <w:rtl/>
        </w:rPr>
        <w:t xml:space="preserve"> </w:t>
      </w:r>
      <w:r w:rsidRPr="007C3DF4">
        <w:rPr>
          <w:rFonts w:ascii="Arial TUR" w:hAnsi="Arial TUR" w:cs="FrankRuehl"/>
          <w:spacing w:val="10"/>
          <w:sz w:val="22"/>
          <w:szCs w:val="28"/>
          <w:rtl/>
        </w:rPr>
        <w:t>(23.4.2000)</w:t>
      </w:r>
      <w:r w:rsidRPr="007C3DF4">
        <w:rPr>
          <w:rFonts w:ascii="Arial TUR" w:hAnsi="Arial TUR" w:cs="FrankRuehl" w:hint="cs"/>
          <w:spacing w:val="10"/>
          <w:sz w:val="22"/>
          <w:szCs w:val="28"/>
          <w:rtl/>
        </w:rPr>
        <w:t xml:space="preserve"> (להלן: </w:t>
      </w:r>
      <w:r w:rsidRPr="007C3DF4">
        <w:rPr>
          <w:rFonts w:ascii="Century" w:hAnsi="Century" w:cs="FrankRuehl"/>
          <w:spacing w:val="10"/>
          <w:sz w:val="22"/>
          <w:szCs w:val="28"/>
          <w:rtl/>
        </w:rPr>
        <w:t>עניין</w:t>
      </w:r>
      <w:r w:rsidRPr="007C3DF4">
        <w:rPr>
          <w:rFonts w:ascii="Century" w:hAnsi="Century" w:cs="Miriam"/>
          <w:b/>
          <w:sz w:val="22"/>
          <w:rtl/>
        </w:rPr>
        <w:t xml:space="preserve"> שולמית אלוני</w:t>
      </w:r>
      <w:r w:rsidRPr="007C3DF4">
        <w:rPr>
          <w:rFonts w:ascii="Arial TUR" w:hAnsi="Arial TUR" w:cs="FrankRuehl"/>
          <w:spacing w:val="10"/>
          <w:sz w:val="22"/>
          <w:szCs w:val="28"/>
          <w:rtl/>
        </w:rPr>
        <w:t>) – שם נטען כי גב' שולמית אלוני אינה ראויה לקבלת פרס ישראל על מפעל חיים</w:t>
      </w:r>
      <w:r w:rsidRPr="007C3DF4">
        <w:rPr>
          <w:rFonts w:ascii="Arial TUR" w:hAnsi="Arial TUR" w:cs="FrankRuehl" w:hint="cs"/>
          <w:spacing w:val="10"/>
          <w:sz w:val="22"/>
          <w:szCs w:val="28"/>
          <w:rtl/>
        </w:rPr>
        <w:t xml:space="preserve">. העתירה נדחתה.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t xml:space="preserve">(-) </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2769/04 </w:t>
      </w:r>
      <w:r w:rsidRPr="007C3DF4">
        <w:rPr>
          <w:rFonts w:ascii="Century" w:hAnsi="Century" w:cs="Miriam" w:hint="cs"/>
          <w:b/>
          <w:sz w:val="22"/>
          <w:rtl/>
        </w:rPr>
        <w:t>יהלום נ' שרת החינוך, התרבות והספורט</w:t>
      </w:r>
      <w:r w:rsidRPr="007C3DF4">
        <w:rPr>
          <w:rFonts w:ascii="Century" w:hAnsi="Century" w:cs="FrankRuehl"/>
          <w:spacing w:val="10"/>
          <w:sz w:val="22"/>
          <w:szCs w:val="28"/>
          <w:rtl/>
        </w:rPr>
        <w:t xml:space="preserve">, פ"ד נח(4) 823 (2004) (להלן: עניין </w:t>
      </w:r>
      <w:r w:rsidRPr="007C3DF4">
        <w:rPr>
          <w:rFonts w:ascii="Century" w:hAnsi="Century" w:cs="Miriam" w:hint="cs"/>
          <w:b/>
          <w:sz w:val="22"/>
          <w:rtl/>
        </w:rPr>
        <w:t>תומרקין</w:t>
      </w:r>
      <w:r w:rsidRPr="007C3DF4">
        <w:rPr>
          <w:rFonts w:ascii="Century" w:hAnsi="Century" w:cs="FrankRuehl"/>
          <w:spacing w:val="10"/>
          <w:sz w:val="22"/>
          <w:szCs w:val="28"/>
          <w:rtl/>
        </w:rPr>
        <w:t xml:space="preserve">) – שם </w:t>
      </w:r>
      <w:r w:rsidRPr="007C3DF4">
        <w:rPr>
          <w:rFonts w:ascii="Arial TUR" w:hAnsi="Arial TUR" w:cs="FrankRuehl"/>
          <w:spacing w:val="10"/>
          <w:sz w:val="22"/>
          <w:szCs w:val="28"/>
          <w:rtl/>
        </w:rPr>
        <w:t>נטען כי האמן יגאל תומרקין אינו ראוי לקבלת פרס ישראל בתחום הפיסול, בין היתר, בשל שורת התבטאויות שבהן הביע טינה ובוז כלפי הציבור הדתי והחרדי</w:t>
      </w:r>
      <w:r w:rsidRPr="007C3DF4">
        <w:rPr>
          <w:rFonts w:ascii="Arial TUR" w:hAnsi="Arial TUR" w:cs="FrankRuehl" w:hint="cs"/>
          <w:spacing w:val="10"/>
          <w:sz w:val="22"/>
          <w:szCs w:val="28"/>
          <w:rtl/>
        </w:rPr>
        <w:t xml:space="preserve">. העתירה נדחתה.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t xml:space="preserve">(-) </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2454/08 </w:t>
      </w:r>
      <w:r w:rsidRPr="007C3DF4">
        <w:rPr>
          <w:rFonts w:ascii="Century" w:hAnsi="Century" w:cs="Miriam" w:hint="cs"/>
          <w:b/>
          <w:sz w:val="22"/>
          <w:rtl/>
        </w:rPr>
        <w:t>פורום משפטי למען ארץ ישראל נ' שרת החינוך</w:t>
      </w:r>
      <w:r w:rsidRPr="007C3DF4">
        <w:rPr>
          <w:rFonts w:ascii="Arial TUR" w:hAnsi="Arial TUR" w:cs="FrankRuehl"/>
          <w:spacing w:val="10"/>
          <w:sz w:val="22"/>
          <w:szCs w:val="28"/>
          <w:rtl/>
        </w:rPr>
        <w:t xml:space="preserve"> (17.4.2008) (להלן: עניין </w:t>
      </w:r>
      <w:proofErr w:type="spellStart"/>
      <w:r w:rsidRPr="007C3DF4">
        <w:rPr>
          <w:rFonts w:ascii="Century" w:hAnsi="Century" w:cs="Miriam" w:hint="cs"/>
          <w:b/>
          <w:sz w:val="22"/>
          <w:rtl/>
        </w:rPr>
        <w:t>שטרנהל</w:t>
      </w:r>
      <w:proofErr w:type="spellEnd"/>
      <w:r w:rsidRPr="007C3DF4">
        <w:rPr>
          <w:rFonts w:ascii="Arial TUR" w:hAnsi="Arial TUR" w:cs="FrankRuehl"/>
          <w:spacing w:val="10"/>
          <w:sz w:val="22"/>
          <w:szCs w:val="28"/>
          <w:rtl/>
        </w:rPr>
        <w:t xml:space="preserve">) – שם נטען כי פרופ' זאב </w:t>
      </w:r>
      <w:proofErr w:type="spellStart"/>
      <w:r w:rsidRPr="007C3DF4">
        <w:rPr>
          <w:rFonts w:ascii="Arial TUR" w:hAnsi="Arial TUR" w:cs="FrankRuehl"/>
          <w:spacing w:val="10"/>
          <w:sz w:val="22"/>
          <w:szCs w:val="28"/>
          <w:rtl/>
        </w:rPr>
        <w:t>שטרנהל</w:t>
      </w:r>
      <w:proofErr w:type="spellEnd"/>
      <w:r w:rsidRPr="007C3DF4">
        <w:rPr>
          <w:rFonts w:ascii="Arial TUR" w:hAnsi="Arial TUR" w:cs="FrankRuehl"/>
          <w:spacing w:val="10"/>
          <w:sz w:val="22"/>
          <w:szCs w:val="28"/>
          <w:rtl/>
        </w:rPr>
        <w:t xml:space="preserve"> אינו ראוי לקבלת פרס ישראל בתחום חקר מדע המדינה, בשל שורת התבטאויות נגד התיישבות יהודית ביהודה ושומרון.</w:t>
      </w:r>
      <w:r w:rsidRPr="007C3DF4">
        <w:rPr>
          <w:rFonts w:ascii="Arial TUR" w:hAnsi="Arial TUR" w:cs="FrankRuehl" w:hint="cs"/>
          <w:spacing w:val="10"/>
          <w:sz w:val="22"/>
          <w:szCs w:val="28"/>
          <w:rtl/>
        </w:rPr>
        <w:t xml:space="preserve"> העתירה נדחתה.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t xml:space="preserve">(-) </w:t>
      </w:r>
      <w:r w:rsidRPr="007C3DF4">
        <w:rPr>
          <w:rFonts w:ascii="Century" w:hAnsi="Century" w:cs="FrankRuehl"/>
          <w:spacing w:val="10"/>
          <w:sz w:val="22"/>
          <w:szCs w:val="28"/>
          <w:rtl/>
        </w:rPr>
        <w:t>בג"ץ 1977/20</w:t>
      </w:r>
      <w:r w:rsidRPr="007C3DF4">
        <w:rPr>
          <w:rFonts w:ascii="Arial TUR" w:hAnsi="Arial TUR" w:cs="FrankRuehl"/>
          <w:spacing w:val="10"/>
          <w:sz w:val="22"/>
          <w:szCs w:val="28"/>
          <w:rtl/>
        </w:rPr>
        <w:t xml:space="preserve"> </w:t>
      </w:r>
      <w:r w:rsidRPr="007C3DF4">
        <w:rPr>
          <w:rFonts w:ascii="Century" w:hAnsi="Century" w:cs="Miriam" w:hint="cs"/>
          <w:b/>
          <w:sz w:val="22"/>
          <w:rtl/>
        </w:rPr>
        <w:t xml:space="preserve">האגודה למען </w:t>
      </w:r>
      <w:proofErr w:type="spellStart"/>
      <w:r w:rsidRPr="007C3DF4">
        <w:rPr>
          <w:rFonts w:ascii="Century" w:hAnsi="Century" w:cs="Miriam" w:hint="cs"/>
          <w:b/>
          <w:sz w:val="22"/>
          <w:rtl/>
        </w:rPr>
        <w:t>הלהט"ב</w:t>
      </w:r>
      <w:proofErr w:type="spellEnd"/>
      <w:r w:rsidRPr="007C3DF4">
        <w:rPr>
          <w:rFonts w:ascii="Century" w:hAnsi="Century" w:cs="Miriam" w:hint="cs"/>
          <w:b/>
          <w:sz w:val="22"/>
          <w:rtl/>
        </w:rPr>
        <w:t xml:space="preserve"> בישראל ("האגודה לשמירת זכויות הפרט") נ' שר החינוך </w:t>
      </w:r>
      <w:r w:rsidRPr="007C3DF4">
        <w:rPr>
          <w:rFonts w:ascii="Arial TUR" w:hAnsi="Arial TUR" w:cs="FrankRuehl"/>
          <w:spacing w:val="10"/>
          <w:sz w:val="22"/>
          <w:szCs w:val="28"/>
          <w:rtl/>
        </w:rPr>
        <w:t xml:space="preserve">(26.4.2020) (להלן: עניין </w:t>
      </w:r>
      <w:r w:rsidRPr="007C3DF4">
        <w:rPr>
          <w:rFonts w:ascii="Century" w:hAnsi="Century" w:cs="Miriam" w:hint="cs"/>
          <w:b/>
          <w:sz w:val="22"/>
          <w:rtl/>
        </w:rPr>
        <w:t>אריאל</w:t>
      </w:r>
      <w:r w:rsidRPr="007C3DF4">
        <w:rPr>
          <w:rFonts w:ascii="Arial TUR" w:hAnsi="Arial TUR" w:cs="FrankRuehl"/>
          <w:spacing w:val="10"/>
          <w:sz w:val="22"/>
          <w:szCs w:val="28"/>
          <w:rtl/>
        </w:rPr>
        <w:t xml:space="preserve">) – שם נטען כנגד זכייתו של הרב יעקב אריאל בפרס ישראל בתחום הספרות התורנית בשל שורת התבטאויות כנגד קהילת </w:t>
      </w:r>
      <w:proofErr w:type="spellStart"/>
      <w:r w:rsidRPr="007C3DF4">
        <w:rPr>
          <w:rFonts w:ascii="Arial TUR" w:hAnsi="Arial TUR" w:cs="FrankRuehl"/>
          <w:spacing w:val="10"/>
          <w:sz w:val="22"/>
          <w:szCs w:val="28"/>
          <w:rtl/>
        </w:rPr>
        <w:t>הלהט"ב</w:t>
      </w:r>
      <w:proofErr w:type="spellEnd"/>
      <w:r w:rsidRPr="007C3DF4">
        <w:rPr>
          <w:rFonts w:ascii="Arial TUR" w:hAnsi="Arial TUR" w:cs="FrankRuehl" w:hint="cs"/>
          <w:spacing w:val="10"/>
          <w:sz w:val="22"/>
          <w:szCs w:val="28"/>
          <w:rtl/>
        </w:rPr>
        <w:t xml:space="preserve">. העתירה נדחתה.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אקדים ואציין כי עניין </w:t>
      </w:r>
      <w:r w:rsidRPr="007C3DF4">
        <w:rPr>
          <w:rFonts w:ascii="Century" w:hAnsi="Century" w:cs="Miriam" w:hint="cs"/>
          <w:b/>
          <w:sz w:val="22"/>
          <w:rtl/>
        </w:rPr>
        <w:t>אריאל</w:t>
      </w:r>
      <w:r w:rsidRPr="007C3DF4">
        <w:rPr>
          <w:rFonts w:ascii="Arial TUR" w:hAnsi="Arial TUR" w:cs="FrankRuehl" w:hint="cs"/>
          <w:spacing w:val="10"/>
          <w:sz w:val="22"/>
          <w:szCs w:val="28"/>
          <w:rtl/>
        </w:rPr>
        <w:t xml:space="preserve"> קרוב ביותר לענייננו, ועל כך אעמוד בהמשך.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t xml:space="preserve">(-) </w:t>
      </w:r>
      <w:r w:rsidRPr="007C3DF4">
        <w:rPr>
          <w:rFonts w:ascii="Century" w:hAnsi="Century" w:cs="FrankRuehl"/>
          <w:spacing w:val="10"/>
          <w:sz w:val="22"/>
          <w:szCs w:val="28"/>
          <w:rtl/>
        </w:rPr>
        <w:t>בג"ץ 2056/21</w:t>
      </w:r>
      <w:r w:rsidRPr="007C3DF4">
        <w:rPr>
          <w:rFonts w:ascii="Arial TUR" w:hAnsi="Arial TUR" w:cs="FrankRuehl"/>
          <w:spacing w:val="10"/>
          <w:sz w:val="22"/>
          <w:szCs w:val="28"/>
          <w:rtl/>
        </w:rPr>
        <w:t xml:space="preserve"> </w:t>
      </w:r>
      <w:proofErr w:type="spellStart"/>
      <w:r w:rsidRPr="007C3DF4">
        <w:rPr>
          <w:rFonts w:ascii="Century" w:hAnsi="Century" w:cs="Miriam" w:hint="cs"/>
          <w:b/>
          <w:sz w:val="22"/>
          <w:rtl/>
        </w:rPr>
        <w:t>פדבה</w:t>
      </w:r>
      <w:proofErr w:type="spellEnd"/>
      <w:r w:rsidRPr="007C3DF4">
        <w:rPr>
          <w:rFonts w:ascii="Century" w:hAnsi="Century" w:cs="Miriam" w:hint="cs"/>
          <w:b/>
          <w:sz w:val="22"/>
          <w:rtl/>
        </w:rPr>
        <w:t xml:space="preserve"> נ' שר החינוך</w:t>
      </w:r>
      <w:r w:rsidRPr="007C3DF4">
        <w:rPr>
          <w:rFonts w:ascii="Arial TUR" w:hAnsi="Arial TUR" w:cs="FrankRuehl"/>
          <w:spacing w:val="10"/>
          <w:sz w:val="22"/>
          <w:szCs w:val="28"/>
          <w:rtl/>
        </w:rPr>
        <w:t xml:space="preserve"> (25.3.2021)</w:t>
      </w:r>
      <w:r w:rsidRPr="007C3DF4">
        <w:rPr>
          <w:rFonts w:ascii="Arial TUR" w:hAnsi="Arial TUR" w:cs="FrankRuehl" w:hint="cs"/>
          <w:spacing w:val="10"/>
          <w:sz w:val="22"/>
          <w:szCs w:val="28"/>
          <w:rtl/>
        </w:rPr>
        <w:t xml:space="preserve"> (להלן: </w:t>
      </w:r>
      <w:r w:rsidRPr="007C3DF4">
        <w:rPr>
          <w:rFonts w:ascii="Arial TUR" w:hAnsi="Arial TUR" w:cs="FrankRuehl"/>
          <w:spacing w:val="10"/>
          <w:sz w:val="22"/>
          <w:szCs w:val="28"/>
          <w:rtl/>
        </w:rPr>
        <w:t xml:space="preserve">עניין </w:t>
      </w:r>
      <w:r w:rsidRPr="007C3DF4">
        <w:rPr>
          <w:rFonts w:ascii="Century" w:hAnsi="Century" w:cs="Miriam"/>
          <w:b/>
          <w:sz w:val="22"/>
          <w:rtl/>
        </w:rPr>
        <w:t>ניצה בן-דב</w:t>
      </w:r>
      <w:r w:rsidRPr="007C3DF4">
        <w:rPr>
          <w:rFonts w:ascii="Century" w:hAnsi="Century" w:cs="FrankRuehl"/>
          <w:spacing w:val="10"/>
          <w:sz w:val="22"/>
          <w:szCs w:val="28"/>
          <w:rtl/>
        </w:rPr>
        <w:t>)</w:t>
      </w:r>
      <w:r w:rsidRPr="007C3DF4">
        <w:rPr>
          <w:rFonts w:ascii="Arial TUR" w:hAnsi="Arial TUR" w:cs="FrankRuehl"/>
          <w:spacing w:val="10"/>
          <w:sz w:val="22"/>
          <w:szCs w:val="28"/>
          <w:rtl/>
        </w:rPr>
        <w:t xml:space="preserve"> – שם נטען כנגד זכייתה של פרופ' בן דב בפרס ישראל בתחום חקר הספרות העברית והכללית, בין היתר בשל טענות העותר להתעמרות והוצאת לשון הרע על ידה. </w:t>
      </w:r>
      <w:r w:rsidRPr="007C3DF4">
        <w:rPr>
          <w:rFonts w:ascii="Arial TUR" w:hAnsi="Arial TUR" w:cs="FrankRuehl" w:hint="cs"/>
          <w:spacing w:val="10"/>
          <w:sz w:val="22"/>
          <w:szCs w:val="28"/>
          <w:rtl/>
        </w:rPr>
        <w:t xml:space="preserve">העתירה נדחתה.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lastRenderedPageBreak/>
        <w:tab/>
      </w:r>
      <w:r w:rsidRPr="007C3DF4">
        <w:rPr>
          <w:rFonts w:ascii="Arial TUR" w:hAnsi="Arial TUR" w:cs="FrankRuehl" w:hint="cs"/>
          <w:spacing w:val="10"/>
          <w:sz w:val="22"/>
          <w:szCs w:val="28"/>
          <w:rtl/>
        </w:rPr>
        <w:t xml:space="preserve">(-) 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 </w:t>
      </w:r>
      <w:r w:rsidRPr="007C3DF4">
        <w:rPr>
          <w:rFonts w:ascii="Century" w:hAnsi="Century" w:cs="FrankRuehl" w:hint="cs"/>
          <w:spacing w:val="10"/>
          <w:sz w:val="22"/>
          <w:szCs w:val="28"/>
          <w:rtl/>
        </w:rPr>
        <w:t>ו</w:t>
      </w:r>
      <w:r w:rsidRPr="007C3DF4">
        <w:rPr>
          <w:rFonts w:ascii="Century" w:hAnsi="Century" w:cs="FrankRuehl"/>
          <w:spacing w:val="10"/>
          <w:sz w:val="22"/>
          <w:szCs w:val="28"/>
          <w:rtl/>
        </w:rPr>
        <w:t>בג</w:t>
      </w:r>
      <w:r w:rsidRPr="007C3DF4">
        <w:rPr>
          <w:rFonts w:ascii="Century" w:hAnsi="Century" w:cs="FrankRuehl" w:hint="cs"/>
          <w:spacing w:val="10"/>
          <w:sz w:val="22"/>
          <w:szCs w:val="28"/>
          <w:rtl/>
        </w:rPr>
        <w:t>"</w:t>
      </w:r>
      <w:r w:rsidRPr="007C3DF4">
        <w:rPr>
          <w:rFonts w:ascii="Century" w:hAnsi="Century" w:cs="FrankRuehl"/>
          <w:spacing w:val="10"/>
          <w:sz w:val="22"/>
          <w:szCs w:val="28"/>
          <w:rtl/>
        </w:rPr>
        <w:t xml:space="preserve">ץ 8076/21 </w:t>
      </w:r>
      <w:r w:rsidRPr="007C3DF4">
        <w:rPr>
          <w:rFonts w:ascii="Century" w:hAnsi="Century" w:cs="Miriam"/>
          <w:b/>
          <w:sz w:val="22"/>
          <w:rtl/>
        </w:rPr>
        <w:t xml:space="preserve">ועדת </w:t>
      </w:r>
      <w:r w:rsidRPr="007C3DF4">
        <w:rPr>
          <w:rFonts w:ascii="Century" w:hAnsi="Century" w:cs="Miriam" w:hint="cs"/>
          <w:b/>
          <w:sz w:val="22"/>
          <w:rtl/>
        </w:rPr>
        <w:t>השופט</w:t>
      </w:r>
      <w:r w:rsidRPr="007C3DF4">
        <w:rPr>
          <w:rFonts w:ascii="Century" w:hAnsi="Century" w:cs="Miriam"/>
          <w:b/>
          <w:sz w:val="22"/>
          <w:rtl/>
        </w:rPr>
        <w:t>ים להענקת פרס ישראל לשנת תשפ"א בתחום חקר מדעי המחשב נ' שרת החינוך</w:t>
      </w:r>
      <w:r w:rsidRPr="007C3DF4">
        <w:rPr>
          <w:rFonts w:ascii="Century" w:hAnsi="Century" w:cs="FrankRuehl" w:hint="cs"/>
          <w:spacing w:val="10"/>
          <w:sz w:val="22"/>
          <w:szCs w:val="28"/>
          <w:rtl/>
        </w:rPr>
        <w:t xml:space="preserve"> </w:t>
      </w:r>
      <w:r w:rsidRPr="007C3DF4">
        <w:rPr>
          <w:rFonts w:ascii="Arial TUR" w:hAnsi="Arial TUR" w:cs="FrankRuehl"/>
          <w:spacing w:val="10"/>
          <w:sz w:val="22"/>
          <w:szCs w:val="28"/>
          <w:rtl/>
        </w:rPr>
        <w:t>(‏29.3.2022</w:t>
      </w:r>
      <w:r w:rsidRPr="007C3DF4">
        <w:rPr>
          <w:rFonts w:ascii="Arial TUR" w:hAnsi="Arial TUR" w:cs="FrankRuehl" w:hint="cs"/>
          <w:spacing w:val="10"/>
          <w:sz w:val="22"/>
          <w:szCs w:val="28"/>
          <w:rtl/>
        </w:rPr>
        <w:t xml:space="preserve">) (להלן: 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השני</w:t>
      </w:r>
      <w:r w:rsidRPr="007C3DF4">
        <w:rPr>
          <w:rFonts w:ascii="Arial TUR" w:hAnsi="Arial TUR" w:cs="FrankRuehl" w:hint="cs"/>
          <w:spacing w:val="10"/>
          <w:sz w:val="22"/>
          <w:szCs w:val="28"/>
          <w:rtl/>
        </w:rPr>
        <w:t xml:space="preserve">) </w:t>
      </w:r>
      <w:r w:rsidRPr="007C3DF4">
        <w:rPr>
          <w:rFonts w:ascii="Arial TUR" w:hAnsi="Arial TUR" w:cs="FrankRuehl" w:hint="eastAsia"/>
          <w:spacing w:val="10"/>
          <w:sz w:val="22"/>
          <w:szCs w:val="28"/>
          <w:rtl/>
        </w:rPr>
        <w:t>–</w:t>
      </w:r>
      <w:r w:rsidRPr="007C3DF4">
        <w:rPr>
          <w:rFonts w:ascii="Arial TUR" w:hAnsi="Arial TUR" w:cs="FrankRuehl" w:hint="cs"/>
          <w:spacing w:val="10"/>
          <w:sz w:val="22"/>
          <w:szCs w:val="28"/>
          <w:rtl/>
        </w:rPr>
        <w:t xml:space="preserve"> בעוד שבכל פסקי הדין שנסקרו לעיל נתקפה החלטת שר החינוך לאשר את החלטת ועדת הפרס, הרי שבעניין </w:t>
      </w:r>
      <w:proofErr w:type="spellStart"/>
      <w:r w:rsidRPr="007C3DF4">
        <w:rPr>
          <w:rFonts w:ascii="Century" w:hAnsi="Century" w:cs="Miriam" w:hint="eastAsia"/>
          <w:b/>
          <w:sz w:val="22"/>
          <w:rtl/>
        </w:rPr>
        <w:t>גולדרייך</w:t>
      </w:r>
      <w:proofErr w:type="spellEnd"/>
      <w:r w:rsidRPr="007C3DF4">
        <w:rPr>
          <w:rFonts w:ascii="Arial TUR" w:hAnsi="Arial TUR" w:cs="FrankRuehl" w:hint="cs"/>
          <w:spacing w:val="10"/>
          <w:sz w:val="22"/>
          <w:szCs w:val="28"/>
          <w:rtl/>
        </w:rPr>
        <w:t xml:space="preserve"> על שני סבביו, נדון מצב ייחודי, ראשוני וחסר תקדים שבו שר החינוך (למעשה, שני שרי חינוך) דחה את המלצת ועדת הפרס. העתירה התקבלה (בדעת רוב), קרי, גם הפעם נותרה על כנה החלטת ועדת הפרס.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עד כאן סקירת שרשרת פסקי הדין בעניין פרס ישראל שבהם </w:t>
      </w:r>
      <w:proofErr w:type="spellStart"/>
      <w:r w:rsidRPr="007C3DF4">
        <w:rPr>
          <w:rFonts w:ascii="Arial TUR" w:hAnsi="Arial TUR" w:cs="FrankRuehl" w:hint="cs"/>
          <w:spacing w:val="10"/>
          <w:sz w:val="22"/>
          <w:szCs w:val="28"/>
          <w:rtl/>
        </w:rPr>
        <w:t>נתברכנו</w:t>
      </w:r>
      <w:proofErr w:type="spellEnd"/>
      <w:r w:rsidRPr="007C3DF4">
        <w:rPr>
          <w:rFonts w:ascii="Arial TUR" w:hAnsi="Arial TUR" w:cs="FrankRuehl" w:hint="cs"/>
          <w:spacing w:val="10"/>
          <w:sz w:val="22"/>
          <w:szCs w:val="28"/>
          <w:rtl/>
        </w:rPr>
        <w:t xml:space="preserve">. </w:t>
      </w:r>
      <w:r w:rsidRPr="007C3DF4">
        <w:rPr>
          <w:rFonts w:ascii="Century" w:hAnsi="Century" w:cs="FrankRuehl" w:hint="cs"/>
          <w:spacing w:val="10"/>
          <w:sz w:val="22"/>
          <w:szCs w:val="28"/>
          <w:rtl/>
        </w:rPr>
        <w:t>נעצור קמעא ונערוך ספירת מלאי של חתני וכלות פרס ישראל שעתירות בעקבות זכייתם הובאו בפני בית משפט זה: עיתונאי אחד (שניצר); אמן אחד (תומרקין); סופר אחד (עמוס עוז); שלושה אנשי אקדמיה (</w:t>
      </w:r>
      <w:proofErr w:type="spellStart"/>
      <w:r w:rsidRPr="007C3DF4">
        <w:rPr>
          <w:rFonts w:ascii="Century" w:hAnsi="Century" w:cs="FrankRuehl" w:hint="cs"/>
          <w:spacing w:val="10"/>
          <w:sz w:val="22"/>
          <w:szCs w:val="28"/>
          <w:rtl/>
        </w:rPr>
        <w:t>שטרנהל</w:t>
      </w:r>
      <w:proofErr w:type="spellEnd"/>
      <w:r w:rsidRPr="007C3DF4">
        <w:rPr>
          <w:rFonts w:ascii="Century" w:hAnsi="Century" w:cs="FrankRuehl" w:hint="cs"/>
          <w:spacing w:val="10"/>
          <w:sz w:val="22"/>
          <w:szCs w:val="28"/>
          <w:rtl/>
        </w:rPr>
        <w:t xml:space="preserve">, בן דב, </w:t>
      </w:r>
      <w:proofErr w:type="spellStart"/>
      <w:r w:rsidRPr="007C3DF4">
        <w:rPr>
          <w:rFonts w:ascii="Century" w:hAnsi="Century" w:cs="FrankRuehl" w:hint="cs"/>
          <w:spacing w:val="10"/>
          <w:sz w:val="22"/>
          <w:szCs w:val="28"/>
          <w:rtl/>
        </w:rPr>
        <w:t>גולדרייך</w:t>
      </w:r>
      <w:proofErr w:type="spellEnd"/>
      <w:r w:rsidRPr="007C3DF4">
        <w:rPr>
          <w:rFonts w:ascii="Century" w:hAnsi="Century" w:cs="FrankRuehl" w:hint="cs"/>
          <w:spacing w:val="10"/>
          <w:sz w:val="22"/>
          <w:szCs w:val="28"/>
          <w:rtl/>
        </w:rPr>
        <w:t>); אשת ציבור (שולמית אלוני); ועובד ציבור (אריאל).</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 </w:t>
      </w: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 w:val="22"/>
          <w:szCs w:val="28"/>
          <w:rtl/>
        </w:rPr>
        <w:t>17.</w:t>
      </w:r>
      <w:r w:rsidRPr="007C3DF4">
        <w:rPr>
          <w:rFonts w:ascii="Century" w:hAnsi="Century" w:cs="FrankRuehl" w:hint="cs"/>
          <w:spacing w:val="10"/>
          <w:sz w:val="22"/>
          <w:szCs w:val="28"/>
          <w:rtl/>
        </w:rPr>
        <w:tab/>
        <w:t xml:space="preserve">פסק הדין בעניין </w:t>
      </w:r>
      <w:r w:rsidRPr="007C3DF4">
        <w:rPr>
          <w:rFonts w:ascii="Century" w:hAnsi="Century" w:cs="Miriam" w:hint="cs"/>
          <w:b/>
          <w:sz w:val="22"/>
          <w:rtl/>
        </w:rPr>
        <w:t>שניצר</w:t>
      </w:r>
      <w:r w:rsidRPr="007C3DF4">
        <w:rPr>
          <w:rFonts w:ascii="Century" w:hAnsi="Century" w:cs="FrankRuehl" w:hint="cs"/>
          <w:spacing w:val="10"/>
          <w:sz w:val="22"/>
          <w:szCs w:val="28"/>
          <w:rtl/>
        </w:rPr>
        <w:t xml:space="preserve"> </w:t>
      </w:r>
      <w:r w:rsidRPr="007C3DF4">
        <w:rPr>
          <w:rFonts w:ascii="Century" w:hAnsi="Century" w:cs="FrankRuehl" w:hint="eastAsia"/>
          <w:spacing w:val="10"/>
          <w:sz w:val="22"/>
          <w:szCs w:val="28"/>
          <w:rtl/>
        </w:rPr>
        <w:t>–</w:t>
      </w:r>
      <w:r w:rsidRPr="007C3DF4">
        <w:rPr>
          <w:rFonts w:ascii="Century" w:hAnsi="Century" w:cs="FrankRuehl" w:hint="cs"/>
          <w:spacing w:val="10"/>
          <w:sz w:val="22"/>
          <w:szCs w:val="28"/>
          <w:rtl/>
        </w:rPr>
        <w:t xml:space="preserve"> שהוא הראשון בשרשרת פסקי הדין הנוגעים לפרס ישראל </w:t>
      </w:r>
      <w:r w:rsidRPr="007C3DF4">
        <w:rPr>
          <w:rFonts w:ascii="Century" w:hAnsi="Century" w:cs="FrankRuehl" w:hint="eastAsia"/>
          <w:spacing w:val="10"/>
          <w:sz w:val="22"/>
          <w:szCs w:val="28"/>
          <w:rtl/>
        </w:rPr>
        <w:t>–</w:t>
      </w:r>
      <w:r w:rsidRPr="007C3DF4">
        <w:rPr>
          <w:rFonts w:ascii="Century" w:hAnsi="Century" w:cs="FrankRuehl" w:hint="cs"/>
          <w:spacing w:val="10"/>
          <w:sz w:val="22"/>
          <w:szCs w:val="28"/>
          <w:rtl/>
        </w:rPr>
        <w:t xml:space="preserve"> הוא אפוא פסק הדין </w:t>
      </w:r>
      <w:r w:rsidRPr="007C3DF4">
        <w:rPr>
          <w:rFonts w:ascii="Century" w:hAnsi="Century" w:cs="Miriam" w:hint="cs"/>
          <w:b/>
          <w:sz w:val="22"/>
          <w:rtl/>
        </w:rPr>
        <w:t>היחיד</w:t>
      </w:r>
      <w:r w:rsidRPr="007C3DF4">
        <w:rPr>
          <w:rFonts w:ascii="Century" w:hAnsi="Century" w:cs="FrankRuehl" w:hint="cs"/>
          <w:spacing w:val="10"/>
          <w:sz w:val="22"/>
          <w:szCs w:val="28"/>
          <w:rtl/>
        </w:rPr>
        <w:t xml:space="preserve"> שבו התערב בית המשפט בהחלטת ועדת השופטים, וגם זאת על דרך של החזרת ההחלטה לוועדה. על פסק הדין נמתחה ביקורת אקדמית (</w:t>
      </w:r>
      <w:r w:rsidRPr="007C3DF4">
        <w:rPr>
          <w:rFonts w:ascii="Garamond" w:hAnsi="Garamond" w:cs="FrankRuehl"/>
          <w:spacing w:val="10"/>
          <w:sz w:val="24"/>
          <w:szCs w:val="28"/>
          <w:rtl/>
        </w:rPr>
        <w:t xml:space="preserve">דניאל </w:t>
      </w:r>
      <w:r w:rsidRPr="007C3DF4">
        <w:rPr>
          <w:rFonts w:ascii="Century" w:hAnsi="Century" w:cs="FrankRuehl" w:hint="eastAsia"/>
          <w:spacing w:val="10"/>
          <w:sz w:val="22"/>
          <w:szCs w:val="28"/>
          <w:rtl/>
        </w:rPr>
        <w:t>פרידמן</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שפיטות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החלטות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בעניין</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פרס</w:t>
      </w:r>
      <w:r w:rsidRPr="007C3DF4">
        <w:rPr>
          <w:rFonts w:ascii="Garamond" w:hAnsi="Garamond" w:cs="FrankRuehl" w:hint="cs"/>
          <w:color w:val="0000FF"/>
          <w:spacing w:val="10"/>
          <w:sz w:val="24"/>
          <w:szCs w:val="28"/>
          <w:rtl/>
        </w:rPr>
        <w:t xml:space="preserve"> </w:t>
      </w:r>
      <w:r w:rsidRPr="007C3DF4">
        <w:rPr>
          <w:rFonts w:ascii="Garamond" w:hAnsi="Garamond" w:cs="FrankRuehl"/>
          <w:spacing w:val="10"/>
          <w:sz w:val="24"/>
          <w:szCs w:val="28"/>
          <w:rtl/>
        </w:rPr>
        <w:t xml:space="preserve">ישראל" </w:t>
      </w:r>
      <w:r w:rsidRPr="007C3DF4">
        <w:rPr>
          <w:rFonts w:ascii="Century" w:hAnsi="Century" w:cs="Miriam"/>
          <w:b/>
          <w:sz w:val="22"/>
          <w:rtl/>
        </w:rPr>
        <w:t>המשפט</w:t>
      </w:r>
      <w:r w:rsidRPr="007C3DF4">
        <w:rPr>
          <w:rFonts w:ascii="Garamond" w:hAnsi="Garamond" w:cs="FrankRuehl"/>
          <w:spacing w:val="10"/>
          <w:sz w:val="24"/>
          <w:szCs w:val="28"/>
          <w:rtl/>
        </w:rPr>
        <w:t xml:space="preserve"> ה 181 (</w:t>
      </w:r>
      <w:proofErr w:type="spellStart"/>
      <w:r w:rsidRPr="007C3DF4">
        <w:rPr>
          <w:rFonts w:ascii="Garamond" w:hAnsi="Garamond" w:cs="FrankRuehl" w:hint="cs"/>
          <w:spacing w:val="10"/>
          <w:sz w:val="24"/>
          <w:szCs w:val="28"/>
          <w:rtl/>
        </w:rPr>
        <w:t>ה</w:t>
      </w:r>
      <w:r w:rsidRPr="007C3DF4">
        <w:rPr>
          <w:rFonts w:ascii="Garamond" w:hAnsi="Garamond" w:cs="FrankRuehl"/>
          <w:spacing w:val="10"/>
          <w:sz w:val="24"/>
          <w:szCs w:val="28"/>
          <w:rtl/>
        </w:rPr>
        <w:t>תשס"א</w:t>
      </w:r>
      <w:proofErr w:type="spellEnd"/>
      <w:r w:rsidRPr="007C3DF4">
        <w:rPr>
          <w:rFonts w:ascii="Garamond" w:hAnsi="Garamond" w:cs="FrankRuehl"/>
          <w:spacing w:val="10"/>
          <w:sz w:val="24"/>
          <w:szCs w:val="28"/>
          <w:rtl/>
        </w:rPr>
        <w:t>)</w:t>
      </w:r>
      <w:r w:rsidRPr="007C3DF4">
        <w:rPr>
          <w:rFonts w:ascii="Garamond" w:hAnsi="Garamond" w:cs="FrankRuehl" w:hint="cs"/>
          <w:spacing w:val="10"/>
          <w:sz w:val="24"/>
          <w:szCs w:val="28"/>
          <w:rtl/>
        </w:rPr>
        <w:t xml:space="preserve">), </w:t>
      </w:r>
      <w:r w:rsidRPr="007C3DF4">
        <w:rPr>
          <w:rFonts w:ascii="Century" w:hAnsi="Century" w:cs="FrankRuehl" w:hint="cs"/>
          <w:spacing w:val="10"/>
          <w:sz w:val="22"/>
          <w:szCs w:val="28"/>
          <w:rtl/>
        </w:rPr>
        <w:t xml:space="preserve">ובמהלך השנים פסק דין זה נתפס כחריג וכהלכה שאין מורין לפיה (לאבחון והסתייגות מעניין </w:t>
      </w:r>
      <w:r w:rsidRPr="007C3DF4">
        <w:rPr>
          <w:rFonts w:ascii="Century" w:hAnsi="Century" w:cs="Miriam" w:hint="cs"/>
          <w:b/>
          <w:sz w:val="22"/>
          <w:rtl/>
        </w:rPr>
        <w:t>שניצר</w:t>
      </w:r>
      <w:r w:rsidRPr="007C3DF4">
        <w:rPr>
          <w:rFonts w:ascii="Century" w:hAnsi="Century" w:cs="FrankRuehl" w:hint="cs"/>
          <w:spacing w:val="10"/>
          <w:sz w:val="22"/>
          <w:szCs w:val="28"/>
          <w:rtl/>
        </w:rPr>
        <w:t xml:space="preserve"> בפסיקה מאוחרת יותר ראו עניין </w:t>
      </w:r>
      <w:r w:rsidRPr="007C3DF4">
        <w:rPr>
          <w:rFonts w:ascii="Century" w:hAnsi="Century" w:cs="Miriam" w:hint="cs"/>
          <w:b/>
          <w:sz w:val="22"/>
          <w:rtl/>
        </w:rPr>
        <w:t>תומרקין</w:t>
      </w:r>
      <w:r w:rsidRPr="007C3DF4">
        <w:rPr>
          <w:rFonts w:ascii="Century" w:hAnsi="Century" w:cs="FrankRuehl" w:hint="cs"/>
          <w:spacing w:val="10"/>
          <w:sz w:val="22"/>
          <w:szCs w:val="28"/>
          <w:rtl/>
        </w:rPr>
        <w:t xml:space="preserve">, בעמ' 835; עניין </w:t>
      </w:r>
      <w:proofErr w:type="spellStart"/>
      <w:r w:rsidRPr="007C3DF4">
        <w:rPr>
          <w:rFonts w:ascii="Century" w:hAnsi="Century" w:cs="Miriam" w:hint="cs"/>
          <w:b/>
          <w:sz w:val="22"/>
          <w:rtl/>
        </w:rPr>
        <w:t>שטרנהל</w:t>
      </w:r>
      <w:proofErr w:type="spellEnd"/>
      <w:r w:rsidRPr="007C3DF4">
        <w:rPr>
          <w:rFonts w:ascii="Century" w:hAnsi="Century" w:cs="FrankRuehl" w:hint="cs"/>
          <w:spacing w:val="10"/>
          <w:sz w:val="22"/>
          <w:szCs w:val="28"/>
          <w:rtl/>
        </w:rPr>
        <w:t xml:space="preserve">, בפסקה 2 לפסק דינו של השופט </w:t>
      </w:r>
      <w:r w:rsidRPr="007C3DF4">
        <w:rPr>
          <w:rFonts w:ascii="Century" w:hAnsi="Century" w:cs="Miriam" w:hint="cs"/>
          <w:b/>
          <w:sz w:val="22"/>
          <w:rtl/>
        </w:rPr>
        <w:t>מלצר</w:t>
      </w:r>
      <w:r w:rsidRPr="007C3DF4">
        <w:rPr>
          <w:rFonts w:ascii="Century" w:hAnsi="Century" w:cs="FrankRuehl" w:hint="cs"/>
          <w:spacing w:val="10"/>
          <w:sz w:val="22"/>
          <w:szCs w:val="28"/>
          <w:rtl/>
        </w:rPr>
        <w:t xml:space="preserve">; עניין </w:t>
      </w:r>
      <w:r w:rsidRPr="007C3DF4">
        <w:rPr>
          <w:rFonts w:ascii="Century" w:hAnsi="Century" w:cs="Miriam" w:hint="cs"/>
          <w:b/>
          <w:sz w:val="22"/>
          <w:rtl/>
        </w:rPr>
        <w:t>אריאל</w:t>
      </w:r>
      <w:r w:rsidRPr="007C3DF4">
        <w:rPr>
          <w:rFonts w:ascii="Century" w:hAnsi="Century" w:cs="FrankRuehl" w:hint="cs"/>
          <w:spacing w:val="10"/>
          <w:sz w:val="22"/>
          <w:szCs w:val="28"/>
          <w:rtl/>
        </w:rPr>
        <w:t xml:space="preserve">, בפסקה 12; 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Century" w:hAnsi="Century" w:cs="FrankRuehl" w:hint="cs"/>
          <w:spacing w:val="10"/>
          <w:sz w:val="22"/>
          <w:szCs w:val="28"/>
          <w:rtl/>
        </w:rPr>
        <w:t xml:space="preserve">, בפסקה 11 לפסק דיני).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spacing w:val="10"/>
          <w:sz w:val="22"/>
          <w:szCs w:val="28"/>
          <w:rtl/>
        </w:rPr>
        <w:tab/>
      </w:r>
      <w:r w:rsidRPr="007C3DF4">
        <w:rPr>
          <w:rFonts w:ascii="Century" w:hAnsi="Century" w:cs="FrankRuehl" w:hint="cs"/>
          <w:spacing w:val="10"/>
          <w:sz w:val="22"/>
          <w:szCs w:val="28"/>
          <w:rtl/>
        </w:rPr>
        <w:t xml:space="preserve">לא למותר לציין כי שניצר הומלץ על ידי ועדת הפרס בגין פועלו כעיתונאי, וההתבטאות שבגינה הורה בית משפט זה על החזרת הדיון לוועדה נבעה אף היא מעבודתו כעיתונאי. בהיבט זה, גם פסק הדין בעניין </w:t>
      </w:r>
      <w:r w:rsidRPr="007C3DF4">
        <w:rPr>
          <w:rFonts w:ascii="Century" w:hAnsi="Century" w:cs="Miriam" w:hint="cs"/>
          <w:b/>
          <w:sz w:val="22"/>
          <w:rtl/>
        </w:rPr>
        <w:t>שניצר</w:t>
      </w:r>
      <w:r w:rsidRPr="007C3DF4">
        <w:rPr>
          <w:rFonts w:ascii="Century" w:hAnsi="Century" w:cs="FrankRuehl" w:hint="cs"/>
          <w:spacing w:val="10"/>
          <w:sz w:val="22"/>
          <w:szCs w:val="28"/>
          <w:rtl/>
        </w:rPr>
        <w:t xml:space="preserve"> יכול לעמוד בקריטריון העיקרי שנקבע בפסיקה המאוחרת: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Miriam"/>
          <w:b/>
          <w:sz w:val="22"/>
          <w:rtl/>
        </w:rPr>
      </w:pPr>
      <w:r w:rsidRPr="007C3DF4">
        <w:rPr>
          <w:rFonts w:ascii="Arial TUR" w:hAnsi="Arial TUR" w:cs="FrankRuehl" w:hint="cs"/>
          <w:spacing w:val="10"/>
          <w:sz w:val="22"/>
          <w:szCs w:val="28"/>
          <w:rtl/>
        </w:rPr>
        <w:t xml:space="preserve">"המקרה של מר שניצר (בג"ץ 2205/97 הנ"ל) היה, במובן זה, מיוחד במינו, הן בכך שהוברר לבטח שעובדות </w:t>
      </w:r>
      <w:proofErr w:type="spellStart"/>
      <w:r w:rsidRPr="007C3DF4">
        <w:rPr>
          <w:rFonts w:ascii="Arial TUR" w:hAnsi="Arial TUR" w:cs="FrankRuehl" w:hint="cs"/>
          <w:spacing w:val="10"/>
          <w:sz w:val="22"/>
          <w:szCs w:val="28"/>
          <w:rtl/>
        </w:rPr>
        <w:t>מסויימות</w:t>
      </w:r>
      <w:proofErr w:type="spellEnd"/>
      <w:r w:rsidRPr="007C3DF4">
        <w:rPr>
          <w:rFonts w:ascii="Arial TUR" w:hAnsi="Arial TUR" w:cs="FrankRuehl" w:hint="cs"/>
          <w:spacing w:val="10"/>
          <w:sz w:val="22"/>
          <w:szCs w:val="28"/>
          <w:rtl/>
        </w:rPr>
        <w:t xml:space="preserve"> לא היו לנגד עיני הוועדה והן במובן זה שעובדות אלה היו בעלות חשיבות רבה לעניין ההחלטה על הענקת הפרס. יש, על כן, לראות את פרשת שניצר כמקרה מיוחד בעובדותיו, אשר אין בו ללמד על הכלל" (עניין </w:t>
      </w:r>
      <w:r w:rsidRPr="007C3DF4">
        <w:rPr>
          <w:rFonts w:ascii="Arial TUR" w:hAnsi="Arial TUR" w:cs="Miriam" w:hint="cs"/>
          <w:b/>
          <w:sz w:val="22"/>
          <w:rtl/>
        </w:rPr>
        <w:t>אלוני</w:t>
      </w:r>
      <w:r w:rsidRPr="007C3DF4">
        <w:rPr>
          <w:rFonts w:ascii="Century" w:hAnsi="Century" w:cs="FrankRuehl" w:hint="cs"/>
          <w:spacing w:val="10"/>
          <w:sz w:val="22"/>
          <w:szCs w:val="28"/>
          <w:rtl/>
        </w:rPr>
        <w:t>,</w:t>
      </w:r>
      <w:r w:rsidRPr="007C3DF4">
        <w:rPr>
          <w:rFonts w:ascii="Arial TUR" w:hAnsi="Arial TUR" w:cs="FrankRuehl" w:hint="cs"/>
          <w:spacing w:val="10"/>
          <w:sz w:val="22"/>
          <w:szCs w:val="28"/>
          <w:rtl/>
        </w:rPr>
        <w:t xml:space="preserve"> בפסקה 4 לפסק דינו של השופט </w:t>
      </w:r>
      <w:r w:rsidRPr="007C3DF4">
        <w:rPr>
          <w:rFonts w:ascii="Arial TUR" w:hAnsi="Arial TUR" w:cs="Miriam" w:hint="cs"/>
          <w:b/>
          <w:sz w:val="22"/>
          <w:rtl/>
        </w:rPr>
        <w:t>אור</w:t>
      </w:r>
      <w:r w:rsidRPr="007C3DF4">
        <w:rPr>
          <w:rFonts w:ascii="Century" w:hAnsi="Century" w:cs="FrankRuehl" w:hint="cs"/>
          <w:spacing w:val="10"/>
          <w:sz w:val="22"/>
          <w:szCs w:val="28"/>
          <w:rtl/>
        </w:rPr>
        <w:t xml:space="preserve">).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lastRenderedPageBreak/>
        <w:tab/>
      </w:r>
      <w:r w:rsidRPr="007C3DF4">
        <w:rPr>
          <w:rFonts w:ascii="Arial TUR" w:hAnsi="Arial TUR" w:cs="FrankRuehl" w:hint="cs"/>
          <w:spacing w:val="10"/>
          <w:sz w:val="22"/>
          <w:szCs w:val="28"/>
          <w:rtl/>
        </w:rPr>
        <w:t xml:space="preserve">דומה כי שורשיה של הגישה הצוננת הנושבת מפסקי הדין של בית משפט זה כלפי עתירות המבקשות להתערב בהחלטת ועדת הפרס, מקורן דווקא במשפט הפרטי. </w:t>
      </w:r>
      <w:r w:rsidRPr="007C3DF4">
        <w:rPr>
          <w:rFonts w:ascii="Arial TUR" w:hAnsi="Arial TUR" w:cs="FrankRuehl" w:hint="eastAsia"/>
          <w:spacing w:val="10"/>
          <w:sz w:val="22"/>
          <w:szCs w:val="28"/>
          <w:rtl/>
        </w:rPr>
        <w:t>סעיף</w:t>
      </w:r>
      <w:r w:rsidRPr="007C3DF4">
        <w:rPr>
          <w:rFonts w:ascii="Arial TUR" w:hAnsi="Arial TUR" w:cs="FrankRuehl"/>
          <w:spacing w:val="10"/>
          <w:sz w:val="22"/>
          <w:szCs w:val="28"/>
          <w:rtl/>
        </w:rPr>
        <w:t xml:space="preserve"> 33</w:t>
      </w:r>
      <w:r w:rsidRPr="007C3DF4">
        <w:rPr>
          <w:rFonts w:ascii="Arial TUR" w:hAnsi="Arial TUR" w:cs="FrankRuehl" w:hint="cs"/>
          <w:spacing w:val="10"/>
          <w:sz w:val="22"/>
          <w:szCs w:val="28"/>
          <w:rtl/>
        </w:rPr>
        <w:t xml:space="preserve"> ל</w:t>
      </w:r>
      <w:r w:rsidRPr="007C3DF4">
        <w:rPr>
          <w:rFonts w:ascii="Arial TUR" w:hAnsi="Arial TUR" w:cs="FrankRuehl"/>
          <w:spacing w:val="10"/>
          <w:sz w:val="22"/>
          <w:szCs w:val="28"/>
          <w:rtl/>
        </w:rPr>
        <w:t>חוק החוזים</w:t>
      </w:r>
      <w:r w:rsidRPr="007C3DF4">
        <w:rPr>
          <w:rFonts w:ascii="Arial TUR" w:hAnsi="Arial TUR" w:cs="FrankRuehl" w:hint="cs"/>
          <w:spacing w:val="10"/>
          <w:sz w:val="22"/>
          <w:szCs w:val="28"/>
          <w:rtl/>
        </w:rPr>
        <w:t xml:space="preserve"> (חלק כללי), התשל"ג-1973 קובע הוראה של אי שפיטות ולפיה "</w:t>
      </w:r>
      <w:r w:rsidRPr="007C3DF4">
        <w:rPr>
          <w:rFonts w:ascii="Arial TUR" w:hAnsi="Arial TUR" w:cs="FrankRuehl"/>
          <w:spacing w:val="10"/>
          <w:sz w:val="22"/>
          <w:szCs w:val="28"/>
          <w:rtl/>
        </w:rPr>
        <w:t>חוזה שלפיו יינתן ציון, תואר, פרס וכיוצא באלה על פי הכרעה או הערכה של אחד הצדדים או של אדם שלישי, אין ההכרעה או ההערכה לפי החוזה נושא לדיון בבית משפט"</w:t>
      </w:r>
      <w:r w:rsidRPr="007C3DF4">
        <w:rPr>
          <w:rFonts w:ascii="Arial TUR" w:hAnsi="Arial TUR" w:cs="FrankRuehl" w:hint="cs"/>
          <w:spacing w:val="10"/>
          <w:sz w:val="22"/>
          <w:szCs w:val="28"/>
          <w:rtl/>
        </w:rPr>
        <w:t xml:space="preserve"> (וראו </w:t>
      </w:r>
      <w:r w:rsidRPr="007C3DF4">
        <w:rPr>
          <w:rFonts w:ascii="Arial TUR" w:hAnsi="Arial TUR" w:cs="FrankRuehl"/>
          <w:spacing w:val="10"/>
          <w:sz w:val="22"/>
          <w:szCs w:val="28"/>
          <w:rtl/>
        </w:rPr>
        <w:t xml:space="preserve">מאיר </w:t>
      </w:r>
      <w:r w:rsidRPr="007C3DF4">
        <w:rPr>
          <w:rFonts w:ascii="Arial TUR" w:hAnsi="Arial TUR" w:cs="FrankRuehl" w:hint="eastAsia"/>
          <w:spacing w:val="10"/>
          <w:sz w:val="22"/>
          <w:szCs w:val="28"/>
          <w:rtl/>
        </w:rPr>
        <w:t>הופמן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שפיטות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החלטות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בעניין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פרס</w:t>
      </w:r>
      <w:r w:rsidRPr="007C3DF4">
        <w:rPr>
          <w:rFonts w:ascii="Arial TUR" w:hAnsi="Arial TUR" w:cs="FrankRuehl" w:hint="cs"/>
          <w:spacing w:val="10"/>
          <w:sz w:val="22"/>
          <w:szCs w:val="28"/>
          <w:rtl/>
        </w:rPr>
        <w:t xml:space="preserve"> </w:t>
      </w:r>
      <w:r w:rsidRPr="007C3DF4">
        <w:rPr>
          <w:rFonts w:ascii="Arial TUR" w:hAnsi="Arial TUR" w:cs="FrankRuehl"/>
          <w:spacing w:val="10"/>
          <w:sz w:val="22"/>
          <w:szCs w:val="28"/>
          <w:rtl/>
        </w:rPr>
        <w:t xml:space="preserve">ישראל – עד מתי?" </w:t>
      </w:r>
      <w:r w:rsidRPr="007C3DF4">
        <w:rPr>
          <w:rFonts w:ascii="Arial TUR" w:hAnsi="Arial TUR" w:cs="Miriam"/>
          <w:b/>
          <w:sz w:val="22"/>
          <w:rtl/>
        </w:rPr>
        <w:t>המשפט</w:t>
      </w:r>
      <w:r w:rsidRPr="007C3DF4">
        <w:rPr>
          <w:rFonts w:ascii="Arial TUR" w:hAnsi="Arial TUR" w:cs="FrankRuehl"/>
          <w:spacing w:val="10"/>
          <w:sz w:val="22"/>
          <w:szCs w:val="28"/>
          <w:rtl/>
        </w:rPr>
        <w:t xml:space="preserve"> ח 557 (</w:t>
      </w:r>
      <w:proofErr w:type="spellStart"/>
      <w:r w:rsidRPr="007C3DF4">
        <w:rPr>
          <w:rFonts w:ascii="Arial TUR" w:hAnsi="Arial TUR" w:cs="FrankRuehl" w:hint="cs"/>
          <w:spacing w:val="10"/>
          <w:sz w:val="22"/>
          <w:szCs w:val="28"/>
          <w:rtl/>
        </w:rPr>
        <w:t>ה</w:t>
      </w:r>
      <w:r w:rsidRPr="007C3DF4">
        <w:rPr>
          <w:rFonts w:ascii="Arial TUR" w:hAnsi="Arial TUR" w:cs="FrankRuehl"/>
          <w:spacing w:val="10"/>
          <w:sz w:val="22"/>
          <w:szCs w:val="28"/>
          <w:rtl/>
        </w:rPr>
        <w:t>תשס"ג</w:t>
      </w:r>
      <w:proofErr w:type="spellEnd"/>
      <w:r w:rsidRPr="007C3DF4">
        <w:rPr>
          <w:rFonts w:ascii="Arial TUR" w:hAnsi="Arial TUR" w:cs="FrankRuehl"/>
          <w:spacing w:val="10"/>
          <w:sz w:val="22"/>
          <w:szCs w:val="28"/>
          <w:rtl/>
        </w:rPr>
        <w:t>)</w:t>
      </w:r>
      <w:r w:rsidRPr="007C3DF4">
        <w:rPr>
          <w:rFonts w:ascii="Arial TUR" w:hAnsi="Arial TUR" w:cs="FrankRuehl" w:hint="cs"/>
          <w:spacing w:val="10"/>
          <w:sz w:val="22"/>
          <w:szCs w:val="28"/>
          <w:rtl/>
        </w:rPr>
        <w:t>)</w:t>
      </w:r>
      <w:r w:rsidRPr="007C3DF4">
        <w:rPr>
          <w:rFonts w:ascii="Arial TUR" w:hAnsi="Arial TUR" w:cs="FrankRuehl"/>
          <w:spacing w:val="10"/>
          <w:sz w:val="22"/>
          <w:szCs w:val="28"/>
          <w:rtl/>
        </w:rPr>
        <w:t xml:space="preserve">. </w:t>
      </w:r>
      <w:r w:rsidRPr="007C3DF4">
        <w:rPr>
          <w:rFonts w:ascii="Arial TUR" w:hAnsi="Arial TUR" w:cs="FrankRuehl" w:hint="cs"/>
          <w:spacing w:val="10"/>
          <w:sz w:val="22"/>
          <w:szCs w:val="28"/>
          <w:rtl/>
        </w:rPr>
        <w:t xml:space="preserve">במישור המשפט </w:t>
      </w:r>
      <w:proofErr w:type="spellStart"/>
      <w:r w:rsidRPr="007C3DF4">
        <w:rPr>
          <w:rFonts w:ascii="Arial TUR" w:hAnsi="Arial TUR" w:cs="FrankRuehl" w:hint="cs"/>
          <w:spacing w:val="10"/>
          <w:sz w:val="22"/>
          <w:szCs w:val="28"/>
          <w:rtl/>
        </w:rPr>
        <w:t>המינהלי</w:t>
      </w:r>
      <w:proofErr w:type="spellEnd"/>
      <w:r w:rsidRPr="007C3DF4">
        <w:rPr>
          <w:rFonts w:ascii="Arial TUR" w:hAnsi="Arial TUR" w:cs="FrankRuehl" w:hint="cs"/>
          <w:spacing w:val="10"/>
          <w:sz w:val="22"/>
          <w:szCs w:val="28"/>
          <w:rtl/>
        </w:rPr>
        <w:t xml:space="preserve">, בית המשפט אמנם לא הכריז על נושא פרס ישראל כנושא בלתי שפיט, אך בעניין </w:t>
      </w:r>
      <w:r w:rsidRPr="007C3DF4">
        <w:rPr>
          <w:rFonts w:ascii="Arial TUR" w:hAnsi="Arial TUR" w:cs="Miriam" w:hint="cs"/>
          <w:b/>
          <w:sz w:val="22"/>
          <w:rtl/>
        </w:rPr>
        <w:t>תומרקין</w:t>
      </w:r>
      <w:r w:rsidRPr="007C3DF4">
        <w:rPr>
          <w:rFonts w:ascii="Arial TUR" w:hAnsi="Arial TUR" w:cs="FrankRuehl" w:hint="cs"/>
          <w:spacing w:val="10"/>
          <w:sz w:val="22"/>
          <w:szCs w:val="28"/>
          <w:rtl/>
        </w:rPr>
        <w:t xml:space="preserve"> נקבע כי המלצתה של הוועדה "</w:t>
      </w:r>
      <w:r w:rsidRPr="007C3DF4">
        <w:rPr>
          <w:rFonts w:ascii="Century" w:hAnsi="Century" w:cs="Miriam" w:hint="cs"/>
          <w:b/>
          <w:sz w:val="22"/>
          <w:rtl/>
        </w:rPr>
        <w:t>כמעט חסינה מפני התערבות, בין מצדו של שר החינוך ובין מצדו של בית-המשפט</w:t>
      </w:r>
      <w:r w:rsidRPr="007C3DF4">
        <w:rPr>
          <w:rFonts w:ascii="Arial TUR" w:hAnsi="Arial TUR" w:cs="FrankRuehl" w:hint="cs"/>
          <w:spacing w:val="10"/>
          <w:sz w:val="22"/>
          <w:szCs w:val="28"/>
          <w:rtl/>
        </w:rPr>
        <w:t xml:space="preserve">".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Cs w:val="28"/>
          <w:rtl/>
        </w:rPr>
        <w:t>18.</w:t>
      </w:r>
      <w:r w:rsidRPr="007C3DF4">
        <w:rPr>
          <w:rFonts w:ascii="Century" w:hAnsi="Century" w:cs="FrankRuehl" w:hint="cs"/>
          <w:spacing w:val="10"/>
          <w:szCs w:val="28"/>
          <w:rtl/>
        </w:rPr>
        <w:tab/>
        <w:t xml:space="preserve">לכל כלל יש חריגים והפסיקה הכירה בכך שייתכנו מקרים קיצונים וחריגים שבגינם יש להכיר באפשרות של </w:t>
      </w:r>
      <w:r w:rsidRPr="007C3DF4">
        <w:rPr>
          <w:rFonts w:ascii="Century" w:hAnsi="Century" w:cs="FrankRuehl" w:hint="cs"/>
          <w:spacing w:val="10"/>
          <w:sz w:val="22"/>
          <w:szCs w:val="28"/>
          <w:rtl/>
        </w:rPr>
        <w:t>שלילת פרס ישראל בגין התבטאויות "חיצוניות</w:t>
      </w:r>
      <w:r w:rsidRPr="007C3DF4">
        <w:rPr>
          <w:rFonts w:ascii="Century" w:hAnsi="Century" w:cs="FrankRuehl" w:hint="cs"/>
          <w:spacing w:val="10"/>
          <w:szCs w:val="28"/>
          <w:rtl/>
        </w:rPr>
        <w:t xml:space="preserve">". כך, בעניין </w:t>
      </w:r>
      <w:proofErr w:type="spellStart"/>
      <w:r w:rsidRPr="007C3DF4">
        <w:rPr>
          <w:rFonts w:ascii="Century" w:hAnsi="Century" w:cs="Miriam" w:hint="cs"/>
          <w:b/>
          <w:sz w:val="22"/>
          <w:rtl/>
        </w:rPr>
        <w:t>שטרנהל</w:t>
      </w:r>
      <w:proofErr w:type="spellEnd"/>
      <w:r w:rsidRPr="007C3DF4">
        <w:rPr>
          <w:rFonts w:ascii="Century" w:hAnsi="Century" w:cs="FrankRuehl" w:hint="cs"/>
          <w:spacing w:val="10"/>
          <w:szCs w:val="28"/>
          <w:rtl/>
        </w:rPr>
        <w:t xml:space="preserve"> הצביע השופט </w:t>
      </w:r>
      <w:r w:rsidRPr="007C3DF4">
        <w:rPr>
          <w:rFonts w:ascii="Century" w:hAnsi="Century" w:cs="Miriam" w:hint="cs"/>
          <w:b/>
          <w:sz w:val="22"/>
          <w:rtl/>
        </w:rPr>
        <w:t>מלצר</w:t>
      </w:r>
      <w:r w:rsidRPr="007C3DF4">
        <w:rPr>
          <w:rFonts w:ascii="Century" w:hAnsi="Century" w:cs="FrankRuehl" w:hint="cs"/>
          <w:spacing w:val="10"/>
          <w:szCs w:val="28"/>
          <w:rtl/>
        </w:rPr>
        <w:t xml:space="preserve"> על </w:t>
      </w:r>
      <w:r w:rsidRPr="007C3DF4">
        <w:rPr>
          <w:rFonts w:ascii="Century" w:hAnsi="Century" w:cs="FrankRuehl" w:hint="cs"/>
          <w:spacing w:val="10"/>
          <w:sz w:val="22"/>
          <w:szCs w:val="28"/>
          <w:rtl/>
        </w:rPr>
        <w:t>האפשרות להקיש מהוראת סעיף 7א ל</w:t>
      </w:r>
      <w:r w:rsidRPr="007C3DF4">
        <w:rPr>
          <w:rFonts w:ascii="Century" w:hAnsi="Century" w:cs="FrankRuehl"/>
          <w:spacing w:val="10"/>
          <w:sz w:val="22"/>
          <w:szCs w:val="28"/>
          <w:rtl/>
        </w:rPr>
        <w:t>חוק יסוד: הכנסת</w:t>
      </w:r>
      <w:r w:rsidRPr="007C3DF4">
        <w:rPr>
          <w:rFonts w:ascii="Century" w:hAnsi="Century" w:cs="FrankRuehl" w:hint="cs"/>
          <w:spacing w:val="10"/>
          <w:sz w:val="22"/>
          <w:szCs w:val="28"/>
          <w:rtl/>
        </w:rPr>
        <w:t xml:space="preserve">. בעניין </w:t>
      </w:r>
      <w:proofErr w:type="spellStart"/>
      <w:r w:rsidRPr="007C3DF4">
        <w:rPr>
          <w:rFonts w:ascii="Century" w:hAnsi="Century" w:cs="Miriam" w:hint="cs"/>
          <w:b/>
          <w:sz w:val="22"/>
          <w:rtl/>
        </w:rPr>
        <w:t>שטרנהל</w:t>
      </w:r>
      <w:proofErr w:type="spellEnd"/>
      <w:r w:rsidRPr="007C3DF4">
        <w:rPr>
          <w:rFonts w:ascii="Century" w:hAnsi="Century" w:cs="FrankRuehl" w:hint="cs"/>
          <w:spacing w:val="10"/>
          <w:sz w:val="22"/>
          <w:szCs w:val="28"/>
          <w:rtl/>
        </w:rPr>
        <w:t xml:space="preserve"> נאמר על ידי השופטת </w:t>
      </w:r>
      <w:r w:rsidRPr="007C3DF4">
        <w:rPr>
          <w:rFonts w:ascii="Century" w:hAnsi="Century" w:cs="Miriam" w:hint="eastAsia"/>
          <w:b/>
          <w:sz w:val="22"/>
          <w:rtl/>
        </w:rPr>
        <w:t>ארבל</w:t>
      </w:r>
      <w:r w:rsidRPr="007C3DF4">
        <w:rPr>
          <w:rFonts w:ascii="Century" w:hAnsi="Century" w:cs="FrankRuehl" w:hint="cs"/>
          <w:spacing w:val="10"/>
          <w:sz w:val="22"/>
          <w:szCs w:val="28"/>
          <w:rtl/>
        </w:rPr>
        <w:t xml:space="preserve"> כי "[...] </w:t>
      </w:r>
      <w:r w:rsidRPr="007C3DF4">
        <w:rPr>
          <w:rFonts w:ascii="Century" w:hAnsi="Century" w:cs="Miriam"/>
          <w:b/>
          <w:sz w:val="22"/>
          <w:rtl/>
        </w:rPr>
        <w:t xml:space="preserve">תיתכנה התבטאויות שיש בהן השפלה או ביזוי כה קשים בכבודו </w:t>
      </w:r>
      <w:r w:rsidRPr="007C3DF4">
        <w:rPr>
          <w:rFonts w:ascii="Century" w:hAnsi="Century" w:cs="FrankRuehl"/>
          <w:spacing w:val="10"/>
          <w:sz w:val="22"/>
          <w:szCs w:val="28"/>
          <w:rtl/>
        </w:rPr>
        <w:t>של אדם או</w:t>
      </w:r>
      <w:r w:rsidRPr="007C3DF4">
        <w:rPr>
          <w:rFonts w:ascii="Century" w:hAnsi="Century" w:cs="Miriam"/>
          <w:b/>
          <w:sz w:val="22"/>
          <w:rtl/>
        </w:rPr>
        <w:t xml:space="preserve"> של ציבור</w:t>
      </w:r>
      <w:r w:rsidRPr="007C3DF4">
        <w:rPr>
          <w:rFonts w:ascii="Century" w:hAnsi="Century" w:cs="FrankRuehl" w:hint="cs"/>
          <w:spacing w:val="10"/>
          <w:sz w:val="22"/>
          <w:szCs w:val="28"/>
          <w:rtl/>
        </w:rPr>
        <w:t xml:space="preserve">..." (הדגשה הוספה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w:t>
      </w:r>
      <w:proofErr w:type="spellStart"/>
      <w:r w:rsidRPr="007C3DF4">
        <w:rPr>
          <w:rFonts w:ascii="Century" w:hAnsi="Century" w:cs="FrankRuehl" w:hint="cs"/>
          <w:spacing w:val="10"/>
          <w:sz w:val="22"/>
          <w:szCs w:val="28"/>
          <w:rtl/>
        </w:rPr>
        <w:t>י"ע</w:t>
      </w:r>
      <w:proofErr w:type="spellEnd"/>
      <w:r w:rsidRPr="007C3DF4">
        <w:rPr>
          <w:rFonts w:ascii="Century" w:hAnsi="Century" w:cs="FrankRuehl" w:hint="cs"/>
          <w:spacing w:val="10"/>
          <w:sz w:val="22"/>
          <w:szCs w:val="28"/>
          <w:rtl/>
        </w:rPr>
        <w:t xml:space="preserve">). בעניין </w:t>
      </w:r>
      <w:proofErr w:type="spellStart"/>
      <w:r w:rsidRPr="007C3DF4">
        <w:rPr>
          <w:rFonts w:ascii="Century" w:hAnsi="Century" w:cs="Miriam" w:hint="cs"/>
          <w:b/>
          <w:sz w:val="22"/>
          <w:rtl/>
        </w:rPr>
        <w:t>גולדרייך</w:t>
      </w:r>
      <w:proofErr w:type="spellEnd"/>
      <w:r w:rsidRPr="007C3DF4">
        <w:rPr>
          <w:rFonts w:ascii="Century" w:hAnsi="Century" w:cs="FrankRuehl" w:hint="cs"/>
          <w:spacing w:val="10"/>
          <w:sz w:val="22"/>
          <w:szCs w:val="28"/>
          <w:rtl/>
        </w:rPr>
        <w:t xml:space="preserve"> </w:t>
      </w:r>
      <w:r w:rsidRPr="007C3DF4">
        <w:rPr>
          <w:rFonts w:ascii="Century" w:hAnsi="Century" w:cs="Miriam" w:hint="cs"/>
          <w:b/>
          <w:sz w:val="22"/>
          <w:rtl/>
        </w:rPr>
        <w:t>הראשון</w:t>
      </w:r>
      <w:r w:rsidRPr="007C3DF4">
        <w:rPr>
          <w:rFonts w:ascii="Century" w:hAnsi="Century" w:cs="FrankRuehl" w:hint="cs"/>
          <w:spacing w:val="10"/>
          <w:sz w:val="22"/>
          <w:szCs w:val="28"/>
          <w:rtl/>
        </w:rPr>
        <w:t xml:space="preserve"> ציין השופט </w:t>
      </w:r>
      <w:r w:rsidRPr="007C3DF4">
        <w:rPr>
          <w:rFonts w:ascii="Century" w:hAnsi="Century" w:cs="Miriam" w:hint="cs"/>
          <w:b/>
          <w:sz w:val="22"/>
          <w:rtl/>
        </w:rPr>
        <w:t>סולברג</w:t>
      </w:r>
      <w:r w:rsidRPr="007C3DF4">
        <w:rPr>
          <w:rFonts w:ascii="Century" w:hAnsi="Century" w:cs="FrankRuehl" w:hint="cs"/>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w:t>
      </w:r>
      <w:r w:rsidRPr="007C3DF4">
        <w:rPr>
          <w:rFonts w:ascii="Arial TUR" w:hAnsi="Arial TUR" w:cs="FrankRuehl"/>
          <w:spacing w:val="10"/>
          <w:sz w:val="22"/>
          <w:szCs w:val="28"/>
          <w:rtl/>
        </w:rPr>
        <w:t xml:space="preserve">כך למשל, </w:t>
      </w:r>
      <w:r w:rsidRPr="007C3DF4">
        <w:rPr>
          <w:rFonts w:ascii="Century" w:hAnsi="Century" w:cs="Miriam"/>
          <w:b/>
          <w:sz w:val="22"/>
          <w:rtl/>
        </w:rPr>
        <w:t xml:space="preserve">אם נמצא כי המועמד עשה שימוש בביטויים גזעניים קשים כלפי </w:t>
      </w:r>
      <w:r w:rsidRPr="007C3DF4">
        <w:rPr>
          <w:rFonts w:ascii="Century" w:hAnsi="Century" w:cs="FrankRuehl"/>
          <w:spacing w:val="10"/>
          <w:sz w:val="22"/>
          <w:szCs w:val="28"/>
          <w:rtl/>
        </w:rPr>
        <w:t>אדם או</w:t>
      </w:r>
      <w:r w:rsidRPr="007C3DF4">
        <w:rPr>
          <w:rFonts w:ascii="Century" w:hAnsi="Century" w:cs="Miriam"/>
          <w:b/>
          <w:sz w:val="22"/>
          <w:rtl/>
        </w:rPr>
        <w:t xml:space="preserve"> ציבור מסוים</w:t>
      </w:r>
      <w:r w:rsidRPr="007C3DF4">
        <w:rPr>
          <w:rFonts w:ascii="Arial TUR" w:hAnsi="Arial TUR" w:cs="FrankRuehl"/>
          <w:spacing w:val="10"/>
          <w:sz w:val="22"/>
          <w:szCs w:val="28"/>
          <w:rtl/>
        </w:rPr>
        <w:t>, אם נקט ביזוי קשה כלפי אלה, או אם שלל את קיומה של מדינת ישראל</w:t>
      </w:r>
      <w:r w:rsidRPr="007C3DF4">
        <w:rPr>
          <w:rFonts w:ascii="Arial TUR" w:hAnsi="Arial TUR" w:cs="FrankRuehl" w:hint="cs"/>
          <w:spacing w:val="10"/>
          <w:sz w:val="22"/>
          <w:szCs w:val="28"/>
          <w:rtl/>
        </w:rPr>
        <w:t xml:space="preserve"> כמדינה יהודית ודמוקרטית</w:t>
      </w:r>
      <w:r w:rsidRPr="007C3DF4">
        <w:rPr>
          <w:rFonts w:ascii="Arial TUR" w:hAnsi="Arial TUR" w:cs="FrankRuehl"/>
          <w:spacing w:val="10"/>
          <w:sz w:val="22"/>
          <w:szCs w:val="28"/>
          <w:rtl/>
        </w:rPr>
        <w:t>, הסית לגזענות ולאלימות, או תמך במאבק מזוין נגד המדינה.</w:t>
      </w:r>
      <w:r w:rsidRPr="007C3DF4">
        <w:rPr>
          <w:rFonts w:ascii="Arial TUR" w:hAnsi="Arial TUR" w:cs="FrankRuehl" w:hint="cs"/>
          <w:spacing w:val="10"/>
          <w:sz w:val="22"/>
          <w:szCs w:val="28"/>
          <w:rtl/>
        </w:rPr>
        <w:t xml:space="preserve"> אין זו רשימה 'סגורה'" (פסקה 4 לפסק דינו, הדגשה הוספה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י"ע</w:t>
      </w:r>
      <w:proofErr w:type="spellEnd"/>
      <w:r w:rsidRPr="007C3DF4">
        <w:rPr>
          <w:rFonts w:ascii="Arial TUR" w:hAnsi="Arial TUR" w:cs="FrankRuehl" w:hint="cs"/>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FrankRuehl"/>
          <w:spacing w:val="10"/>
          <w:sz w:val="22"/>
          <w:szCs w:val="28"/>
          <w:rtl/>
        </w:rPr>
        <w:tab/>
      </w:r>
      <w:r w:rsidRPr="007C3DF4">
        <w:rPr>
          <w:rFonts w:ascii="Century" w:hAnsi="Century" w:cs="FrankRuehl" w:hint="cs"/>
          <w:spacing w:val="10"/>
          <w:sz w:val="22"/>
          <w:szCs w:val="28"/>
          <w:rtl/>
        </w:rPr>
        <w:t xml:space="preserve">העותרות טענו בפנינו כי גם על רקע סעיף 7א לחוק יסוד: הכנסת, אם כמקור ישיר ואם כמקור השראה, יש לקבל את העתירות. </w:t>
      </w:r>
    </w:p>
    <w:p w:rsidR="007C3DF4" w:rsidRPr="007C3DF4" w:rsidRDefault="007C3DF4" w:rsidP="007C3DF4">
      <w:pPr>
        <w:tabs>
          <w:tab w:val="left" w:pos="800"/>
        </w:tabs>
        <w:spacing w:line="360" w:lineRule="auto"/>
        <w:jc w:val="both"/>
        <w:rPr>
          <w:rFonts w:ascii="Century" w:hAnsi="Century" w:cs="Miriam"/>
          <w:b/>
          <w:sz w:val="22"/>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מן הכלל אל הפרט</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 w:val="22"/>
          <w:szCs w:val="28"/>
          <w:rtl/>
        </w:rPr>
        <w:t>19.</w:t>
      </w:r>
      <w:r w:rsidRPr="007C3DF4">
        <w:rPr>
          <w:rFonts w:ascii="Century" w:hAnsi="Century" w:cs="FrankRuehl" w:hint="cs"/>
          <w:spacing w:val="10"/>
          <w:sz w:val="22"/>
          <w:szCs w:val="28"/>
          <w:rtl/>
        </w:rPr>
        <w:tab/>
        <w:t xml:space="preserve">הצטברותם של </w:t>
      </w:r>
      <w:r w:rsidRPr="007C3DF4">
        <w:rPr>
          <w:rFonts w:ascii="Century" w:hAnsi="Century" w:cs="Miriam" w:hint="cs"/>
          <w:b/>
          <w:sz w:val="22"/>
          <w:rtl/>
        </w:rPr>
        <w:t>שבעה</w:t>
      </w:r>
      <w:r w:rsidRPr="007C3DF4">
        <w:rPr>
          <w:rFonts w:ascii="Century" w:hAnsi="Century" w:cs="FrankRuehl" w:hint="cs"/>
          <w:spacing w:val="10"/>
          <w:sz w:val="22"/>
          <w:szCs w:val="28"/>
          <w:rtl/>
        </w:rPr>
        <w:t xml:space="preserve"> נושאים מעוררת את השאלה אם ענייננו-שלנו אינו נופל בגדר מקרי הקצה שבהם יש לשקול נסיבות "חיצוניות" לתחום פועלו המקצועי של הרב יוסף:</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Miriam"/>
          <w:b/>
          <w:sz w:val="22"/>
          <w:rtl/>
        </w:rPr>
        <w:tab/>
      </w:r>
      <w:r w:rsidRPr="007C3DF4">
        <w:rPr>
          <w:rFonts w:ascii="Century" w:hAnsi="Century" w:cs="Miriam" w:hint="cs"/>
          <w:b/>
          <w:sz w:val="22"/>
          <w:rtl/>
        </w:rPr>
        <w:t>א</w:t>
      </w:r>
      <w:r w:rsidRPr="007C3DF4">
        <w:rPr>
          <w:rFonts w:ascii="Century" w:hAnsi="Century" w:cs="FrankRuehl" w:hint="cs"/>
          <w:spacing w:val="10"/>
          <w:sz w:val="22"/>
          <w:szCs w:val="28"/>
          <w:rtl/>
        </w:rPr>
        <w:t>. אמירות שיש בהן כדי ביזוי, השפלה וגזענות כלפי ציבור העולים מחבר העמים.</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Miriam"/>
          <w:b/>
          <w:sz w:val="22"/>
          <w:rtl/>
        </w:rPr>
        <w:lastRenderedPageBreak/>
        <w:tab/>
      </w:r>
      <w:r w:rsidRPr="007C3DF4">
        <w:rPr>
          <w:rFonts w:ascii="Century" w:hAnsi="Century" w:cs="Miriam" w:hint="cs"/>
          <w:b/>
          <w:sz w:val="22"/>
          <w:rtl/>
        </w:rPr>
        <w:t>ב</w:t>
      </w:r>
      <w:r w:rsidRPr="007C3DF4">
        <w:rPr>
          <w:rFonts w:ascii="Century" w:hAnsi="Century" w:cs="FrankRuehl" w:hint="cs"/>
          <w:spacing w:val="10"/>
          <w:sz w:val="22"/>
          <w:szCs w:val="28"/>
          <w:rtl/>
        </w:rPr>
        <w:t>. אמירות שיש בהן כדי ביזוי, השפלה והלבנת פנים כלפי בני הקהילה הרפורמית והקונסרבטיבית.</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Miriam"/>
          <w:b/>
          <w:sz w:val="22"/>
          <w:rtl/>
        </w:rPr>
        <w:tab/>
      </w:r>
      <w:r w:rsidRPr="007C3DF4">
        <w:rPr>
          <w:rFonts w:ascii="Century" w:hAnsi="Century" w:cs="Miriam" w:hint="cs"/>
          <w:b/>
          <w:sz w:val="22"/>
          <w:rtl/>
        </w:rPr>
        <w:t>ג</w:t>
      </w:r>
      <w:r w:rsidRPr="007C3DF4">
        <w:rPr>
          <w:rFonts w:ascii="Century" w:hAnsi="Century" w:cs="FrankRuehl" w:hint="cs"/>
          <w:spacing w:val="10"/>
          <w:sz w:val="22"/>
          <w:szCs w:val="28"/>
          <w:rtl/>
        </w:rPr>
        <w:t xml:space="preserve">. </w:t>
      </w:r>
      <w:r w:rsidRPr="007C3DF4">
        <w:rPr>
          <w:rFonts w:ascii="Century" w:hAnsi="Century" w:cs="FrankRuehl" w:hint="eastAsia"/>
          <w:spacing w:val="10"/>
          <w:sz w:val="22"/>
          <w:szCs w:val="28"/>
          <w:rtl/>
        </w:rPr>
        <w:t>אמירות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שיש</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בהן</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כדי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ביזוי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השפלה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והלבנת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פנים</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כלפי</w:t>
      </w:r>
      <w:r w:rsidRPr="007C3DF4">
        <w:rPr>
          <w:rFonts w:ascii="Century" w:hAnsi="Century" w:cs="FrankRuehl"/>
          <w:spacing w:val="10"/>
          <w:sz w:val="22"/>
          <w:szCs w:val="28"/>
          <w:rtl/>
        </w:rPr>
        <w:t xml:space="preserve"> </w:t>
      </w:r>
      <w:r w:rsidRPr="007C3DF4">
        <w:rPr>
          <w:rFonts w:ascii="Century" w:hAnsi="Century" w:cs="FrankRuehl" w:hint="cs"/>
          <w:spacing w:val="10"/>
          <w:sz w:val="22"/>
          <w:szCs w:val="28"/>
          <w:rtl/>
        </w:rPr>
        <w:t xml:space="preserve">מי שאינם יהודיים, כגון </w:t>
      </w:r>
      <w:r w:rsidRPr="007C3DF4">
        <w:rPr>
          <w:rFonts w:ascii="Century" w:hAnsi="Century" w:cs="FrankRuehl" w:hint="eastAsia"/>
          <w:spacing w:val="10"/>
          <w:sz w:val="22"/>
          <w:szCs w:val="28"/>
          <w:rtl/>
        </w:rPr>
        <w:t>המיעוט</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הערבי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בישראל</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האמירה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בדרשה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לפיה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הסיבה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בגינה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חיים</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בישראל</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גויים</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היא</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כדי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לשרת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את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היהודים</w:t>
      </w:r>
      <w:r w:rsidRPr="007C3DF4">
        <w:rPr>
          <w:rFonts w:ascii="Century" w:hAnsi="Century" w:cs="FrankRuehl"/>
          <w:spacing w:val="10"/>
          <w:sz w:val="22"/>
          <w:szCs w:val="28"/>
          <w:rtl/>
        </w:rPr>
        <w:t>).</w:t>
      </w: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b/>
          <w:sz w:val="22"/>
          <w:rtl/>
        </w:rPr>
        <w:tab/>
      </w: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Miriam"/>
          <w:b/>
          <w:sz w:val="22"/>
          <w:rtl/>
        </w:rPr>
        <w:tab/>
      </w:r>
      <w:r w:rsidRPr="007C3DF4">
        <w:rPr>
          <w:rFonts w:ascii="Century" w:hAnsi="Century" w:cs="Miriam" w:hint="cs"/>
          <w:b/>
          <w:sz w:val="22"/>
          <w:rtl/>
        </w:rPr>
        <w:t>ד</w:t>
      </w:r>
      <w:r w:rsidRPr="007C3DF4">
        <w:rPr>
          <w:rFonts w:ascii="Century" w:hAnsi="Century" w:cs="FrankRuehl" w:hint="cs"/>
          <w:spacing w:val="10"/>
          <w:sz w:val="22"/>
          <w:szCs w:val="28"/>
          <w:rtl/>
        </w:rPr>
        <w:t xml:space="preserve">. </w:t>
      </w:r>
      <w:r w:rsidRPr="007C3DF4">
        <w:rPr>
          <w:rFonts w:ascii="Century" w:hAnsi="Century" w:cs="FrankRuehl" w:hint="eastAsia"/>
          <w:spacing w:val="10"/>
          <w:sz w:val="22"/>
          <w:szCs w:val="28"/>
          <w:rtl/>
        </w:rPr>
        <w:t>אמירות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התוקפות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את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המשפט</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העליון</w:t>
      </w:r>
      <w:r w:rsidRPr="007C3DF4">
        <w:rPr>
          <w:rFonts w:ascii="Century" w:hAnsi="Century" w:cs="FrankRuehl" w:hint="cs"/>
          <w:spacing w:val="10"/>
          <w:sz w:val="22"/>
          <w:szCs w:val="28"/>
          <w:rtl/>
        </w:rPr>
        <w:t xml:space="preserve">. </w:t>
      </w: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FrankRuehl"/>
          <w:spacing w:val="10"/>
          <w:sz w:val="22"/>
          <w:szCs w:val="28"/>
          <w:rtl/>
        </w:rPr>
        <w:tab/>
      </w: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Miriam"/>
          <w:b/>
          <w:sz w:val="22"/>
          <w:rtl/>
        </w:rPr>
        <w:tab/>
      </w:r>
      <w:r w:rsidRPr="007C3DF4">
        <w:rPr>
          <w:rFonts w:ascii="Century" w:hAnsi="Century" w:cs="Miriam" w:hint="cs"/>
          <w:b/>
          <w:sz w:val="22"/>
          <w:rtl/>
        </w:rPr>
        <w:t>ה</w:t>
      </w:r>
      <w:r w:rsidRPr="007C3DF4">
        <w:rPr>
          <w:rFonts w:ascii="Century" w:hAnsi="Century" w:cs="FrankRuehl" w:hint="cs"/>
          <w:spacing w:val="10"/>
          <w:sz w:val="22"/>
          <w:szCs w:val="28"/>
          <w:rtl/>
        </w:rPr>
        <w:t xml:space="preserve">. המלצתו של הנציב להעמיד את הרב יוסף לדין משמעתי, ובהמשך, המלצתו להעביר את עניינו לוועדה לבחירת שופטים על מנת לדון באפשרות הדחתו מכהונתו כדיין.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Cs w:val="28"/>
          <w:rtl/>
        </w:rPr>
      </w:pPr>
      <w:r w:rsidRPr="007C3DF4">
        <w:rPr>
          <w:rFonts w:ascii="Century" w:hAnsi="Century" w:cs="FrankRuehl"/>
          <w:spacing w:val="10"/>
          <w:sz w:val="22"/>
          <w:szCs w:val="28"/>
          <w:rtl/>
        </w:rPr>
        <w:tab/>
      </w:r>
      <w:r w:rsidRPr="007C3DF4">
        <w:rPr>
          <w:rFonts w:ascii="Century" w:hAnsi="Century" w:cs="Miriam" w:hint="cs"/>
          <w:b/>
          <w:sz w:val="22"/>
          <w:rtl/>
        </w:rPr>
        <w:t>ו</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פסק</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הדין</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5034/21 </w:t>
      </w:r>
      <w:r w:rsidRPr="007C3DF4">
        <w:rPr>
          <w:rFonts w:ascii="Century" w:hAnsi="Century" w:cs="FrankRuehl" w:hint="eastAsia"/>
          <w:spacing w:val="10"/>
          <w:sz w:val="22"/>
          <w:szCs w:val="28"/>
          <w:rtl/>
        </w:rPr>
        <w:t>שהדגיש</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כי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המדובר</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בהתבטאויות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בלתי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ראויות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וכי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העתירה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נדחית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אך</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ורק</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בשל</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מועד</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פרישתו</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הצפוי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של</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הרב</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יוסף</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spacing w:val="10"/>
          <w:sz w:val="22"/>
          <w:szCs w:val="28"/>
          <w:rtl/>
        </w:rPr>
        <w:tab/>
      </w:r>
      <w:r w:rsidRPr="007C3DF4">
        <w:rPr>
          <w:rFonts w:ascii="Century" w:hAnsi="Century" w:cs="Miriam" w:hint="cs"/>
          <w:b/>
          <w:sz w:val="22"/>
          <w:rtl/>
        </w:rPr>
        <w:t>ז</w:t>
      </w:r>
      <w:r w:rsidRPr="007C3DF4">
        <w:rPr>
          <w:rFonts w:ascii="Century" w:hAnsi="Century" w:cs="FrankRuehl" w:hint="cs"/>
          <w:spacing w:val="10"/>
          <w:sz w:val="22"/>
          <w:szCs w:val="28"/>
          <w:rtl/>
        </w:rPr>
        <w:t xml:space="preserve">. האיום בעזיבת הארץ.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hint="cs"/>
          <w:spacing w:val="10"/>
          <w:sz w:val="22"/>
          <w:szCs w:val="28"/>
          <w:rtl/>
        </w:rPr>
        <w:t>20.</w:t>
      </w:r>
      <w:r w:rsidRPr="007C3DF4">
        <w:rPr>
          <w:rFonts w:ascii="Arial TUR" w:hAnsi="Arial TUR" w:cs="FrankRuehl" w:hint="cs"/>
          <w:spacing w:val="10"/>
          <w:sz w:val="22"/>
          <w:szCs w:val="28"/>
          <w:rtl/>
        </w:rPr>
        <w:tab/>
        <w:t xml:space="preserve">אפתח בנושא האחרון. </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Miriam"/>
          <w:b/>
          <w:spacing w:val="10"/>
          <w:sz w:val="22"/>
          <w:szCs w:val="28"/>
          <w:rtl/>
        </w:rPr>
      </w:pPr>
      <w:r w:rsidRPr="007C3DF4">
        <w:rPr>
          <w:rFonts w:ascii="Arial TUR" w:hAnsi="Arial TUR" w:cs="FrankRuehl"/>
          <w:spacing w:val="10"/>
          <w:sz w:val="22"/>
          <w:szCs w:val="28"/>
          <w:rtl/>
        </w:rPr>
        <w:tab/>
      </w:r>
      <w:proofErr w:type="spellStart"/>
      <w:r w:rsidRPr="007C3DF4">
        <w:rPr>
          <w:rFonts w:ascii="Arial TUR" w:hAnsi="Arial TUR" w:cs="FrankRuehl" w:hint="cs"/>
          <w:spacing w:val="10"/>
          <w:sz w:val="22"/>
          <w:szCs w:val="28"/>
          <w:rtl/>
        </w:rPr>
        <w:t>ב'רפרור</w:t>
      </w:r>
      <w:proofErr w:type="spellEnd"/>
      <w:r w:rsidRPr="007C3DF4">
        <w:rPr>
          <w:rFonts w:ascii="Arial TUR" w:hAnsi="Arial TUR" w:cs="FrankRuehl" w:hint="cs"/>
          <w:spacing w:val="10"/>
          <w:sz w:val="22"/>
          <w:szCs w:val="28"/>
          <w:rtl/>
        </w:rPr>
        <w:t xml:space="preserve">' לדברי השופט </w:t>
      </w:r>
      <w:r w:rsidRPr="007C3DF4">
        <w:rPr>
          <w:rFonts w:ascii="Century" w:hAnsi="Century" w:cs="Miriam" w:hint="cs"/>
          <w:b/>
          <w:sz w:val="22"/>
          <w:rtl/>
        </w:rPr>
        <w:t>סולברג</w:t>
      </w:r>
      <w:r w:rsidRPr="007C3DF4">
        <w:rPr>
          <w:rFonts w:ascii="Arial TUR" w:hAnsi="Arial TUR" w:cs="FrankRuehl" w:hint="cs"/>
          <w:spacing w:val="10"/>
          <w:sz w:val="22"/>
          <w:szCs w:val="28"/>
          <w:rtl/>
        </w:rPr>
        <w:t xml:space="preserve"> בעניין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Arial TUR" w:hAnsi="Arial TUR" w:cs="FrankRuehl" w:hint="cs"/>
          <w:spacing w:val="10"/>
          <w:sz w:val="22"/>
          <w:szCs w:val="28"/>
          <w:rtl/>
        </w:rPr>
        <w:t xml:space="preserve"> (שם, בפסקה 6), דעת לנבון נקל, כי </w:t>
      </w:r>
      <w:r w:rsidRPr="007C3DF4">
        <w:rPr>
          <w:rFonts w:ascii="Arial TUR" w:hAnsi="Arial TUR" w:cs="FrankRuehl"/>
          <w:spacing w:val="10"/>
          <w:sz w:val="22"/>
          <w:szCs w:val="28"/>
          <w:rtl/>
        </w:rPr>
        <w:t xml:space="preserve">מעשיו ופעולותיו של </w:t>
      </w:r>
      <w:r w:rsidRPr="007C3DF4">
        <w:rPr>
          <w:rFonts w:ascii="Arial TUR" w:hAnsi="Arial TUR" w:cs="FrankRuehl" w:hint="cs"/>
          <w:spacing w:val="10"/>
          <w:sz w:val="22"/>
          <w:szCs w:val="28"/>
          <w:rtl/>
        </w:rPr>
        <w:t xml:space="preserve">הרב יוסף בכל הנוגע לגיוס חרדים והאיום בעזיבת הארץ בשל כך, </w:t>
      </w:r>
      <w:r w:rsidRPr="007C3DF4">
        <w:rPr>
          <w:rFonts w:ascii="Arial TUR" w:hAnsi="Arial TUR" w:cs="FrankRuehl"/>
          <w:spacing w:val="10"/>
          <w:sz w:val="22"/>
          <w:szCs w:val="28"/>
          <w:rtl/>
        </w:rPr>
        <w:t>אינם בקונצנזוס</w:t>
      </w:r>
      <w:r w:rsidRPr="007C3DF4">
        <w:rPr>
          <w:rFonts w:ascii="Arial TUR" w:hAnsi="Arial TUR" w:cs="FrankRuehl" w:hint="cs"/>
          <w:spacing w:val="10"/>
          <w:sz w:val="22"/>
          <w:szCs w:val="28"/>
          <w:rtl/>
        </w:rPr>
        <w:t xml:space="preserve">; אדרבה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הם מעלים את חמתם של רבים, אשר מוצאים בהם טעם רב לפגם;</w:t>
      </w:r>
      <w:r w:rsidRPr="007C3DF4">
        <w:rPr>
          <w:rFonts w:ascii="Arial TUR" w:hAnsi="Arial TUR" w:cs="FrankRuehl"/>
          <w:spacing w:val="10"/>
          <w:sz w:val="22"/>
          <w:szCs w:val="28"/>
          <w:rtl/>
        </w:rPr>
        <w:t xml:space="preserve"> </w:t>
      </w:r>
      <w:r w:rsidRPr="007C3DF4">
        <w:rPr>
          <w:rFonts w:ascii="Arial TUR" w:hAnsi="Arial TUR" w:cs="FrankRuehl" w:hint="cs"/>
          <w:spacing w:val="10"/>
          <w:sz w:val="22"/>
          <w:szCs w:val="28"/>
          <w:rtl/>
        </w:rPr>
        <w:t>בפרט כך, מקום שבו מדובר במי שנהנה מתפקיד ממלכתי כה בכיר של רב ראשי. אך בעוד ש</w:t>
      </w:r>
      <w:r w:rsidRPr="007C3DF4">
        <w:rPr>
          <w:rFonts w:ascii="Century" w:hAnsi="Century" w:cs="FrankRuehl" w:hint="cs"/>
          <w:spacing w:val="10"/>
          <w:sz w:val="22"/>
          <w:szCs w:val="28"/>
          <w:rtl/>
        </w:rPr>
        <w:t xml:space="preserve">פרופ' </w:t>
      </w:r>
      <w:proofErr w:type="spellStart"/>
      <w:r w:rsidRPr="007C3DF4">
        <w:rPr>
          <w:rFonts w:ascii="Century" w:hAnsi="Century" w:cs="FrankRuehl" w:hint="cs"/>
          <w:spacing w:val="10"/>
          <w:sz w:val="22"/>
          <w:szCs w:val="28"/>
          <w:rtl/>
        </w:rPr>
        <w:t>גולדרייך</w:t>
      </w:r>
      <w:proofErr w:type="spellEnd"/>
      <w:r w:rsidRPr="007C3DF4">
        <w:rPr>
          <w:rFonts w:ascii="Century" w:hAnsi="Century" w:cs="FrankRuehl" w:hint="cs"/>
          <w:spacing w:val="10"/>
          <w:sz w:val="22"/>
          <w:szCs w:val="28"/>
          <w:rtl/>
        </w:rPr>
        <w:t xml:space="preserve"> לא היה </w:t>
      </w:r>
      <w:r w:rsidRPr="007C3DF4">
        <w:rPr>
          <w:rFonts w:ascii="Arial TUR" w:hAnsi="Arial TUR" w:cs="FrankRuehl" w:hint="cs"/>
          <w:spacing w:val="10"/>
          <w:sz w:val="22"/>
          <w:szCs w:val="28"/>
          <w:rtl/>
        </w:rPr>
        <w:t xml:space="preserve">איש ציבור, לא מילא תפקיד ציבורי ובוודאי שלא היה מנהיג שמוליך ציבור בעקבותיו, הרי שהרב יוסף אוחז בעמדה של מנהיג רוחני לקהילתו ולצאן מרעיתו, לעשרות ושמא מאות אלפי אנשים. כדוגמה בלבד למידת השפעתו של הרב יוסף על הציבור שבהנהגתו הרוחנית-הלכתית, ניתן ללמוד מתגובתו של עובד ציבור בכיר, יהודה אבידן, מנכ"ל המשרד לשירותי דת, לאיום בעזיבת הארץ. לדבריו, כפי שהושמעו על גלי האתר וצוטטו באמצעי תקשורת שונים בנוסח כזה או אחר, אם יתנו לו הוראה הוא יעזוב את הארץ. האיום בעזיבת הארץ הוא בגדר ביטוי חריף הקורא תיגר לא רק על שלטון החוק אלא גם ובעיקר על היותה של המדינה בית לעם היהודי. ככלל, הענקת פרס ישראל "היוותה מאז הוחל בחלוקת הפרס, סמל להישגים שאנו חולקים גאווה משותפת לגביהם, </w:t>
      </w:r>
      <w:r w:rsidRPr="007C3DF4">
        <w:rPr>
          <w:rFonts w:ascii="Century" w:hAnsi="Century" w:cs="Miriam" w:hint="cs"/>
          <w:b/>
          <w:sz w:val="22"/>
          <w:rtl/>
        </w:rPr>
        <w:t>למשותף ולמאחד את החברה בישראל</w:t>
      </w:r>
      <w:r w:rsidRPr="007C3DF4">
        <w:rPr>
          <w:rFonts w:ascii="Arial TUR" w:hAnsi="Arial TUR" w:cs="FrankRuehl" w:hint="cs"/>
          <w:spacing w:val="10"/>
          <w:sz w:val="22"/>
          <w:szCs w:val="28"/>
          <w:rtl/>
        </w:rPr>
        <w:t xml:space="preserve"> חרף חילוקי </w:t>
      </w:r>
      <w:r w:rsidRPr="007C3DF4">
        <w:rPr>
          <w:rFonts w:ascii="Arial TUR" w:hAnsi="Arial TUR" w:cs="FrankRuehl" w:hint="cs"/>
          <w:spacing w:val="10"/>
          <w:sz w:val="22"/>
          <w:szCs w:val="28"/>
          <w:rtl/>
        </w:rPr>
        <w:lastRenderedPageBreak/>
        <w:t xml:space="preserve">הדעות העמוקים בתחומים שונים" (פסקה 14 לפסק דינה של השופטת </w:t>
      </w:r>
      <w:r w:rsidRPr="007C3DF4">
        <w:rPr>
          <w:rFonts w:ascii="Century" w:hAnsi="Century" w:cs="Miriam" w:hint="cs"/>
          <w:b/>
          <w:sz w:val="22"/>
          <w:rtl/>
        </w:rPr>
        <w:t>ארבל</w:t>
      </w:r>
      <w:r w:rsidRPr="007C3DF4">
        <w:rPr>
          <w:rFonts w:ascii="Arial TUR" w:hAnsi="Arial TUR" w:cs="FrankRuehl" w:hint="cs"/>
          <w:spacing w:val="10"/>
          <w:sz w:val="22"/>
          <w:szCs w:val="28"/>
          <w:rtl/>
        </w:rPr>
        <w:t xml:space="preserve"> בעניין </w:t>
      </w:r>
      <w:proofErr w:type="spellStart"/>
      <w:r w:rsidRPr="007C3DF4">
        <w:rPr>
          <w:rFonts w:ascii="Century" w:hAnsi="Century" w:cs="Miriam" w:hint="cs"/>
          <w:b/>
          <w:sz w:val="22"/>
          <w:rtl/>
        </w:rPr>
        <w:t>שטרנהל</w:t>
      </w:r>
      <w:proofErr w:type="spellEnd"/>
      <w:r w:rsidRPr="007C3DF4">
        <w:rPr>
          <w:rFonts w:ascii="Century" w:hAnsi="Century" w:cs="FrankRuehl" w:hint="cs"/>
          <w:spacing w:val="10"/>
          <w:sz w:val="22"/>
          <w:szCs w:val="28"/>
          <w:rtl/>
        </w:rPr>
        <w:t>).</w:t>
      </w:r>
      <w:r w:rsidRPr="007C3DF4">
        <w:rPr>
          <w:rFonts w:ascii="Arial TUR" w:hAnsi="Arial TUR" w:cs="Miriam" w:hint="cs"/>
          <w:b/>
          <w:spacing w:val="10"/>
          <w:sz w:val="22"/>
          <w:szCs w:val="28"/>
          <w:rtl/>
        </w:rPr>
        <w:t xml:space="preserve"> </w:t>
      </w:r>
      <w:r w:rsidRPr="007C3DF4">
        <w:rPr>
          <w:rFonts w:ascii="Arial TUR" w:hAnsi="Arial TUR" w:cs="FrankRuehl" w:hint="cs"/>
          <w:spacing w:val="10"/>
          <w:sz w:val="22"/>
          <w:szCs w:val="28"/>
          <w:rtl/>
        </w:rPr>
        <w:t>אמירה מעין זו אינה מתיישבת עם הקריאה והציפייה לאחדות העם בימי שגרה, ובוודאי בימי המלחמה הקשים שמדינת ישראל נתונה בהם מאז ה-7 באוקטובר.</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אולם, כפי שחזרה הפסיקה ושנתה שוב ושוב, </w:t>
      </w:r>
      <w:r w:rsidRPr="007C3DF4">
        <w:rPr>
          <w:rFonts w:ascii="Arial TUR" w:hAnsi="Arial TUR" w:cs="FrankRuehl"/>
          <w:spacing w:val="10"/>
          <w:sz w:val="22"/>
          <w:szCs w:val="28"/>
          <w:rtl/>
        </w:rPr>
        <w:t xml:space="preserve">פרס </w:t>
      </w:r>
      <w:r w:rsidRPr="007C3DF4">
        <w:rPr>
          <w:rFonts w:ascii="Arial TUR" w:hAnsi="Arial TUR" w:cs="FrankRuehl" w:hint="cs"/>
          <w:spacing w:val="10"/>
          <w:sz w:val="22"/>
          <w:szCs w:val="28"/>
          <w:rtl/>
        </w:rPr>
        <w:t xml:space="preserve">ישראל </w:t>
      </w:r>
      <w:r w:rsidRPr="007C3DF4">
        <w:rPr>
          <w:rFonts w:ascii="Arial TUR" w:hAnsi="Arial TUR" w:cs="FrankRuehl"/>
          <w:spacing w:val="10"/>
          <w:sz w:val="22"/>
          <w:szCs w:val="28"/>
          <w:rtl/>
        </w:rPr>
        <w:t xml:space="preserve">הוא </w:t>
      </w:r>
      <w:r w:rsidRPr="007C3DF4">
        <w:rPr>
          <w:rFonts w:ascii="Arial TUR" w:hAnsi="Arial TUR" w:cs="FrankRuehl" w:hint="cs"/>
          <w:spacing w:val="10"/>
          <w:sz w:val="22"/>
          <w:szCs w:val="28"/>
          <w:rtl/>
        </w:rPr>
        <w:t xml:space="preserve">אכן </w:t>
      </w:r>
      <w:r w:rsidRPr="007C3DF4">
        <w:rPr>
          <w:rFonts w:ascii="Arial TUR" w:hAnsi="Arial TUR" w:cs="FrankRuehl"/>
          <w:spacing w:val="10"/>
          <w:sz w:val="22"/>
          <w:szCs w:val="28"/>
          <w:rtl/>
        </w:rPr>
        <w:t>ממלכתי אך אינו אמור לשקף קונצנזוס של הציבור</w:t>
      </w:r>
      <w:r w:rsidRPr="007C3DF4">
        <w:rPr>
          <w:rFonts w:ascii="Arial TUR" w:hAnsi="Arial TUR" w:cs="FrankRuehl" w:hint="cs"/>
          <w:spacing w:val="10"/>
          <w:sz w:val="22"/>
          <w:szCs w:val="28"/>
          <w:rtl/>
        </w:rPr>
        <w:t xml:space="preserve"> (ראו, לדוגמה, עניין </w:t>
      </w:r>
      <w:r w:rsidRPr="007C3DF4">
        <w:rPr>
          <w:rFonts w:ascii="Century" w:hAnsi="Century" w:cs="Miriam" w:hint="cs"/>
          <w:b/>
          <w:sz w:val="22"/>
          <w:rtl/>
        </w:rPr>
        <w:t>אריאל</w:t>
      </w:r>
      <w:r w:rsidRPr="007C3DF4">
        <w:rPr>
          <w:rFonts w:ascii="Arial TUR" w:hAnsi="Arial TUR" w:cs="FrankRuehl" w:hint="cs"/>
          <w:spacing w:val="10"/>
          <w:sz w:val="22"/>
          <w:szCs w:val="28"/>
          <w:rtl/>
        </w:rPr>
        <w:t xml:space="preserve">, בפסקה 9; פסקה 21 לפסק דיני בעניין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Arial TUR" w:hAnsi="Arial TUR" w:cs="FrankRuehl" w:hint="cs"/>
          <w:spacing w:val="10"/>
          <w:sz w:val="22"/>
          <w:szCs w:val="28"/>
          <w:rtl/>
        </w:rPr>
        <w:t xml:space="preserve">). מקורפוס הפסיקה שנסקר לעיל עולה כי הפרס ניתן על הישגים מקצועיים ותרומה ייחודית בתחום מסוים, ויש להפריד בין פועלם המקצועי של חתן או כלת הפרס לבין </w:t>
      </w:r>
      <w:r w:rsidRPr="007C3DF4">
        <w:rPr>
          <w:rFonts w:ascii="Arial TUR" w:hAnsi="Arial TUR" w:cs="FrankRuehl"/>
          <w:spacing w:val="10"/>
          <w:sz w:val="22"/>
          <w:szCs w:val="28"/>
          <w:rtl/>
        </w:rPr>
        <w:t xml:space="preserve">התבטאויות </w:t>
      </w:r>
      <w:r w:rsidRPr="007C3DF4">
        <w:rPr>
          <w:rFonts w:ascii="Arial TUR" w:hAnsi="Arial TUR" w:cs="FrankRuehl" w:hint="cs"/>
          <w:spacing w:val="10"/>
          <w:sz w:val="22"/>
          <w:szCs w:val="28"/>
          <w:rtl/>
        </w:rPr>
        <w:t>"</w:t>
      </w:r>
      <w:r w:rsidRPr="007C3DF4">
        <w:rPr>
          <w:rFonts w:ascii="Arial TUR" w:hAnsi="Arial TUR" w:cs="FrankRuehl"/>
          <w:spacing w:val="10"/>
          <w:sz w:val="22"/>
          <w:szCs w:val="28"/>
          <w:rtl/>
        </w:rPr>
        <w:t>פרטיות</w:t>
      </w:r>
      <w:r w:rsidRPr="007C3DF4">
        <w:rPr>
          <w:rFonts w:ascii="Arial TUR" w:hAnsi="Arial TUR" w:cs="FrankRuehl" w:hint="cs"/>
          <w:spacing w:val="10"/>
          <w:sz w:val="22"/>
          <w:szCs w:val="28"/>
          <w:rtl/>
        </w:rPr>
        <w:t xml:space="preserve">" בנושאים </w:t>
      </w:r>
      <w:r w:rsidRPr="007C3DF4">
        <w:rPr>
          <w:rFonts w:ascii="Century" w:hAnsi="Century" w:cs="FrankRuehl" w:hint="cs"/>
          <w:spacing w:val="10"/>
          <w:sz w:val="22"/>
          <w:szCs w:val="28"/>
          <w:rtl/>
        </w:rPr>
        <w:t xml:space="preserve">שאינם נוגעים במישרין לפועלם המקצועי של המועמדים.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 w:val="22"/>
          <w:szCs w:val="28"/>
          <w:rtl/>
        </w:rPr>
        <w:t>21.</w:t>
      </w:r>
      <w:r w:rsidRPr="007C3DF4">
        <w:rPr>
          <w:rFonts w:ascii="Century" w:hAnsi="Century" w:cs="FrankRuehl"/>
          <w:spacing w:val="10"/>
          <w:sz w:val="22"/>
          <w:szCs w:val="28"/>
          <w:rtl/>
        </w:rPr>
        <w:tab/>
      </w:r>
      <w:r w:rsidRPr="007C3DF4">
        <w:rPr>
          <w:rFonts w:ascii="Century" w:hAnsi="Century" w:cs="FrankRuehl" w:hint="cs"/>
          <w:spacing w:val="10"/>
          <w:sz w:val="22"/>
          <w:szCs w:val="28"/>
          <w:rtl/>
        </w:rPr>
        <w:t xml:space="preserve">העותרות טענו כי התנהלותו והתבטאויותיו של הרב יוסף קשורות ליצירתו התורנית. כך, העותרות טענו כי הוועדה הזכירה בהחלטתה שהרב יוסף "עוסק גם בחינוך ובהפצת התורה לשכבות </w:t>
      </w:r>
      <w:proofErr w:type="spellStart"/>
      <w:r w:rsidRPr="007C3DF4">
        <w:rPr>
          <w:rFonts w:ascii="Century" w:hAnsi="Century" w:cs="FrankRuehl" w:hint="cs"/>
          <w:spacing w:val="10"/>
          <w:sz w:val="22"/>
          <w:szCs w:val="28"/>
          <w:rtl/>
        </w:rPr>
        <w:t>אוכלוסיה</w:t>
      </w:r>
      <w:proofErr w:type="spellEnd"/>
      <w:r w:rsidRPr="007C3DF4">
        <w:rPr>
          <w:rFonts w:ascii="Century" w:hAnsi="Century" w:cs="FrankRuehl" w:hint="cs"/>
          <w:spacing w:val="10"/>
          <w:sz w:val="22"/>
          <w:szCs w:val="28"/>
          <w:rtl/>
        </w:rPr>
        <w:t xml:space="preserve"> רבות ומגוונות [...] ומוסר שיעורי תורה והלכה במסגרות ציבוריות שונות", וכי </w:t>
      </w:r>
      <w:r w:rsidRPr="007C3DF4">
        <w:rPr>
          <w:rFonts w:ascii="FrankRuehl" w:hAnsi="FrankRuehl" w:cs="FrankRuehl" w:hint="cs"/>
          <w:spacing w:val="10"/>
          <w:sz w:val="28"/>
          <w:szCs w:val="28"/>
          <w:rtl/>
        </w:rPr>
        <w:t>"</w:t>
      </w:r>
      <w:r w:rsidRPr="007C3DF4">
        <w:rPr>
          <w:rFonts w:ascii="FrankRuehl" w:hAnsi="FrankRuehl" w:cs="FrankRuehl"/>
          <w:spacing w:val="10"/>
          <w:sz w:val="28"/>
          <w:szCs w:val="28"/>
          <w:rtl/>
        </w:rPr>
        <w:t>מאז שנת 2013 משמש הרב יצחק יוסף כראשון לציון הרב הראשי לישראל ונשיא בית הדין הרבני הגדול. גם במסגרת זו מפעלו התורני בא לידי ביטוי באופן מרשים ביותר</w:t>
      </w:r>
      <w:r w:rsidRPr="007C3DF4">
        <w:rPr>
          <w:rFonts w:ascii="Century" w:hAnsi="Century" w:cs="FrankRuehl" w:hint="cs"/>
          <w:spacing w:val="10"/>
          <w:sz w:val="22"/>
          <w:szCs w:val="28"/>
          <w:rtl/>
        </w:rPr>
        <w:t>".</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spacing w:val="10"/>
          <w:sz w:val="22"/>
          <w:szCs w:val="28"/>
          <w:rtl/>
        </w:rPr>
        <w:tab/>
      </w:r>
      <w:r w:rsidRPr="007C3DF4">
        <w:rPr>
          <w:rFonts w:ascii="Century" w:hAnsi="Century" w:cs="FrankRuehl" w:hint="cs"/>
          <w:spacing w:val="10"/>
          <w:sz w:val="22"/>
          <w:szCs w:val="28"/>
          <w:rtl/>
        </w:rPr>
        <w:t>לא בכדי הבאנו לעיל את המלצת ועדת הפרס במלואה. בנימוקי הוועדה כפי שנחתמו ביום 1.2.2024, עם העברת ההמלצה לשר להכריז על הרב יוסף כזוכה, נזכרים סדרת ספריו של הרב יוסף "ילקוט יוסף" וספרי שאלות ותשובות שכתב, והוסבר כי "</w:t>
      </w:r>
      <w:r w:rsidRPr="007C3DF4">
        <w:rPr>
          <w:rFonts w:ascii="FrankRuehl" w:hAnsi="FrankRuehl" w:cs="FrankRuehl" w:hint="cs"/>
          <w:color w:val="000000"/>
          <w:spacing w:val="10"/>
          <w:sz w:val="28"/>
          <w:szCs w:val="28"/>
          <w:rtl/>
        </w:rPr>
        <w:t>ההיקף העצום והאיכות המיוחדת של הכתיבה התורנית מעמידים את הרב יוסף בשורה אחת עם גדולי הפוסקים בדורות האחרונים. הספרות התורנית של הרב יוסף משפיעה רבות על כל הציבור שומר המצוות בארץ ובעולם</w:t>
      </w:r>
      <w:r w:rsidRPr="007C3DF4">
        <w:rPr>
          <w:rFonts w:ascii="Century" w:hAnsi="Century" w:cs="FrankRuehl" w:hint="cs"/>
          <w:spacing w:val="10"/>
          <w:sz w:val="22"/>
          <w:szCs w:val="28"/>
          <w:rtl/>
        </w:rPr>
        <w:t xml:space="preserve">". נימוקי הוועדה המפורטים מיום 14.2.2024, נפתחים בהצהרה ומסתיימים בהצהרה כי הוועדה החליטה להעניק את הפרס בקטגוריה </w:t>
      </w:r>
      <w:r w:rsidRPr="007C3DF4">
        <w:rPr>
          <w:rFonts w:ascii="Century" w:hAnsi="Century" w:cs="Miriam" w:hint="cs"/>
          <w:b/>
          <w:sz w:val="22"/>
          <w:rtl/>
        </w:rPr>
        <w:t>ספרות תורנית ליוצרים"</w:t>
      </w:r>
      <w:r w:rsidRPr="007C3DF4">
        <w:rPr>
          <w:rFonts w:ascii="Century" w:hAnsi="Century" w:cs="FrankRuehl" w:hint="cs"/>
          <w:spacing w:val="10"/>
          <w:sz w:val="22"/>
          <w:szCs w:val="28"/>
          <w:rtl/>
        </w:rPr>
        <w:t>.</w:t>
      </w:r>
      <w:r w:rsidRPr="007C3DF4">
        <w:rPr>
          <w:rFonts w:ascii="Century" w:hAnsi="Century" w:cs="FrankRuehl"/>
          <w:spacing w:val="10"/>
          <w:sz w:val="22"/>
          <w:szCs w:val="28"/>
          <w:rtl/>
        </w:rPr>
        <w:t xml:space="preserve"> </w:t>
      </w:r>
      <w:r w:rsidRPr="007C3DF4">
        <w:rPr>
          <w:rFonts w:ascii="Century" w:hAnsi="Century" w:cs="FrankRuehl" w:hint="cs"/>
          <w:spacing w:val="10"/>
          <w:sz w:val="22"/>
          <w:szCs w:val="28"/>
          <w:rtl/>
        </w:rPr>
        <w:t>הוועדה סוקרת בהרחבה את סדרת ספריו "ילקוט יוסף" ומציינת כי לצד סדרת הספרים חיבר הרב יוסף עשרות חיבורים תורניים נוספים. זו עיקר ההמלצה, כאשר בשולי הדברים, "</w:t>
      </w:r>
      <w:r w:rsidRPr="007C3DF4">
        <w:rPr>
          <w:rFonts w:ascii="Century" w:hAnsi="Century" w:cs="Miriam" w:hint="eastAsia"/>
          <w:b/>
          <w:sz w:val="22"/>
          <w:rtl/>
        </w:rPr>
        <w:t>בנוסף</w:t>
      </w:r>
      <w:r w:rsidRPr="007C3DF4">
        <w:rPr>
          <w:rFonts w:ascii="Century" w:hAnsi="Century" w:cs="Miriam"/>
          <w:b/>
          <w:sz w:val="22"/>
          <w:rtl/>
        </w:rPr>
        <w:t xml:space="preserve"> </w:t>
      </w:r>
      <w:r w:rsidRPr="007C3DF4">
        <w:rPr>
          <w:rFonts w:ascii="Century" w:hAnsi="Century" w:cs="FrankRuehl" w:hint="cs"/>
          <w:spacing w:val="10"/>
          <w:sz w:val="22"/>
          <w:szCs w:val="28"/>
          <w:rtl/>
        </w:rPr>
        <w:t xml:space="preserve">לתרומתו העצומה לספרות התורנית"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זו שבגינה הוענק לו הפרס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נזכר שהרב עוסק גם בחינוך ומוסר גם שיעורי תורה. ודוק: מקריאת המלצת הוועדה כמו גם הגדרת התחום שבגינו ניתן הפרס, כפי שנזכר ברישא ובסיפא של ההמלצה, ברי כי ההמלצה נסבה על הספרות התורנית של הרב. התבטאויותיו של הרב כפי שצוטטו לעיל, הן חיצוניות ושוליות לפועלו המקצועי בתחום הספרות התורנית.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Arial TUR" w:hAnsi="Arial TUR" w:cs="FrankRuehl" w:hint="cs"/>
          <w:spacing w:val="10"/>
          <w:sz w:val="22"/>
          <w:szCs w:val="28"/>
          <w:rtl/>
        </w:rPr>
        <w:lastRenderedPageBreak/>
        <w:t>22.</w:t>
      </w:r>
      <w:r w:rsidRPr="007C3DF4">
        <w:rPr>
          <w:rFonts w:ascii="Arial TUR" w:hAnsi="Arial TUR" w:cs="FrankRuehl" w:hint="cs"/>
          <w:spacing w:val="10"/>
          <w:sz w:val="22"/>
          <w:szCs w:val="28"/>
          <w:rtl/>
        </w:rPr>
        <w:tab/>
        <w:t xml:space="preserve">זאת ועוד. </w:t>
      </w:r>
      <w:r w:rsidRPr="007C3DF4">
        <w:rPr>
          <w:rFonts w:ascii="Arial TUR" w:hAnsi="Arial TUR" w:cs="FrankRuehl" w:hint="eastAsia"/>
          <w:spacing w:val="10"/>
          <w:sz w:val="22"/>
          <w:szCs w:val="28"/>
          <w:rtl/>
        </w:rPr>
        <w:t>האיום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בעזיבת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הארץ</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נאמר</w:t>
      </w:r>
      <w:r w:rsidRPr="007C3DF4">
        <w:rPr>
          <w:rFonts w:ascii="Arial TUR" w:hAnsi="Arial TUR" w:cs="FrankRuehl"/>
          <w:spacing w:val="10"/>
          <w:sz w:val="22"/>
          <w:szCs w:val="28"/>
          <w:rtl/>
        </w:rPr>
        <w:t xml:space="preserve"> על ידי הרב יוסף </w:t>
      </w:r>
      <w:r w:rsidRPr="007C3DF4">
        <w:rPr>
          <w:rFonts w:ascii="Century" w:hAnsi="Century" w:cs="Miriam" w:hint="eastAsia"/>
          <w:b/>
          <w:sz w:val="22"/>
          <w:rtl/>
        </w:rPr>
        <w:t>לאחר</w:t>
      </w:r>
      <w:r w:rsidRPr="007C3DF4">
        <w:rPr>
          <w:rFonts w:ascii="Arial TUR" w:hAnsi="Arial TUR" w:cs="FrankRuehl"/>
          <w:spacing w:val="10"/>
          <w:sz w:val="22"/>
          <w:szCs w:val="28"/>
          <w:rtl/>
        </w:rPr>
        <w:t xml:space="preserve"> ש</w:t>
      </w:r>
      <w:r w:rsidRPr="007C3DF4">
        <w:rPr>
          <w:rFonts w:ascii="Arial TUR" w:hAnsi="Arial TUR" w:cs="FrankRuehl" w:hint="eastAsia"/>
          <w:spacing w:val="10"/>
          <w:sz w:val="22"/>
          <w:szCs w:val="28"/>
          <w:rtl/>
        </w:rPr>
        <w:t>ניתנה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המלצת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הוועדה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להעניק</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לו</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את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פרס</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ישראל</w:t>
      </w:r>
      <w:r w:rsidRPr="007C3DF4">
        <w:rPr>
          <w:rFonts w:ascii="Arial TUR" w:hAnsi="Arial TUR" w:cs="FrankRuehl"/>
          <w:spacing w:val="10"/>
          <w:sz w:val="22"/>
          <w:szCs w:val="28"/>
          <w:rtl/>
        </w:rPr>
        <w:t xml:space="preserve">, ואין זה ראוי לצאת במסע דיג וחיפושים אחר התבטאויות כאלה ואחרות של חתן הפרס לאחר שוועדת הפרס המליצה בעניינו (כפי שנעשה בעניין </w:t>
      </w:r>
      <w:proofErr w:type="spellStart"/>
      <w:r w:rsidRPr="007C3DF4">
        <w:rPr>
          <w:rFonts w:ascii="Century" w:hAnsi="Century" w:cs="Miriam" w:hint="eastAsia"/>
          <w:b/>
          <w:sz w:val="22"/>
          <w:rtl/>
        </w:rPr>
        <w:t>גולדרייך</w:t>
      </w:r>
      <w:proofErr w:type="spellEnd"/>
      <w:r w:rsidRPr="007C3DF4">
        <w:rPr>
          <w:rFonts w:ascii="Arial TUR" w:hAnsi="Arial TUR" w:cs="FrankRuehl"/>
          <w:spacing w:val="10"/>
          <w:sz w:val="22"/>
          <w:szCs w:val="28"/>
          <w:rtl/>
        </w:rPr>
        <w:t xml:space="preserve">, ראו פסקה 22 לפסק דיני שם), והדברים נכונים </w:t>
      </w:r>
      <w:r w:rsidRPr="007C3DF4">
        <w:rPr>
          <w:rFonts w:ascii="Arial TUR" w:hAnsi="Arial TUR" w:cs="FrankRuehl" w:hint="cs"/>
          <w:spacing w:val="10"/>
          <w:sz w:val="22"/>
          <w:szCs w:val="28"/>
          <w:rtl/>
        </w:rPr>
        <w:t xml:space="preserve">גם </w:t>
      </w:r>
      <w:r w:rsidRPr="007C3DF4">
        <w:rPr>
          <w:rFonts w:ascii="Arial TUR" w:hAnsi="Arial TUR" w:cs="FrankRuehl"/>
          <w:spacing w:val="10"/>
          <w:sz w:val="22"/>
          <w:szCs w:val="28"/>
          <w:rtl/>
        </w:rPr>
        <w:t xml:space="preserve">למעשים ולהתבטאויות שנעשו לאחר שכבר </w:t>
      </w:r>
      <w:r w:rsidRPr="007C3DF4">
        <w:rPr>
          <w:rFonts w:ascii="Arial TUR" w:hAnsi="Arial TUR" w:cs="FrankRuehl" w:hint="eastAsia"/>
          <w:spacing w:val="10"/>
          <w:sz w:val="22"/>
          <w:szCs w:val="28"/>
          <w:rtl/>
        </w:rPr>
        <w:t>אושרה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המלצת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הוועדה</w:t>
      </w:r>
      <w:r w:rsidRPr="007C3DF4">
        <w:rPr>
          <w:rFonts w:ascii="Arial TUR" w:hAnsi="Arial TUR" w:cs="FrankRuehl" w:hint="cs"/>
          <w:spacing w:val="10"/>
          <w:sz w:val="22"/>
          <w:szCs w:val="28"/>
          <w:rtl/>
        </w:rPr>
        <w:t xml:space="preserve">. מובן כי גם לכך יכולים להיות חריגים, כגון מעשים פליליים של חתן הפרס שנחשפו לאחר שפורסמה המלצת הוועדה, אך לא זה המקרה שלפנינו. ועיקרו של דבר. טענת העותרות כי האיום בעזיבת הארץ הוא בגדר נסיבה חדשה שבגינה על השר לעשות שימוש בסמכותו להחזיר את ההמלצה לוועדה לבחינה מחדש, אינה עולה בקנה אחד עם הפסיקה לפיה "ככלל, התבטאויותיהם של מועמדים לפרס ישראל, בנושאים שאינם נוגעים במישרין לפועלם המקצועי, בגינו הם זוכים בפרס, </w:t>
      </w:r>
      <w:r w:rsidRPr="007C3DF4">
        <w:rPr>
          <w:rFonts w:ascii="Century" w:hAnsi="Century" w:cs="Miriam" w:hint="cs"/>
          <w:b/>
          <w:sz w:val="22"/>
          <w:rtl/>
        </w:rPr>
        <w:t>אינם חלק אינטגרלי של השיקולים שעל ועדת השופטים להביא בין שיקוליה</w:t>
      </w:r>
      <w:r w:rsidR="0068469D" w:rsidRPr="0068469D">
        <w:rPr>
          <w:rStyle w:val="Ruller42"/>
          <w:rFonts w:ascii="Century" w:hAnsi="Century" w:hint="cs"/>
          <w:rtl/>
        </w:rPr>
        <w:t>"</w:t>
      </w:r>
      <w:r w:rsidRPr="007C3DF4">
        <w:rPr>
          <w:rFonts w:ascii="Century" w:hAnsi="Century" w:cs="Miriam" w:hint="cs"/>
          <w:b/>
          <w:sz w:val="22"/>
          <w:rtl/>
        </w:rPr>
        <w:t xml:space="preserve">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עניין </w:t>
      </w:r>
      <w:proofErr w:type="spellStart"/>
      <w:r w:rsidRPr="007C3DF4">
        <w:rPr>
          <w:rFonts w:ascii="Century" w:hAnsi="Century" w:cs="Miriam" w:hint="cs"/>
          <w:b/>
          <w:sz w:val="22"/>
          <w:rtl/>
        </w:rPr>
        <w:t>שטרנהל</w:t>
      </w:r>
      <w:proofErr w:type="spellEnd"/>
      <w:r w:rsidRPr="007C3DF4">
        <w:rPr>
          <w:rFonts w:ascii="Century" w:hAnsi="Century" w:cs="FrankRuehl" w:hint="cs"/>
          <w:spacing w:val="10"/>
          <w:sz w:val="22"/>
          <w:szCs w:val="28"/>
          <w:rtl/>
        </w:rPr>
        <w:t xml:space="preserve">, פסקה 10, הדגשה הוספה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w:t>
      </w:r>
      <w:proofErr w:type="spellStart"/>
      <w:r w:rsidRPr="007C3DF4">
        <w:rPr>
          <w:rFonts w:ascii="Century" w:hAnsi="Century" w:cs="FrankRuehl" w:hint="cs"/>
          <w:spacing w:val="10"/>
          <w:sz w:val="22"/>
          <w:szCs w:val="28"/>
          <w:rtl/>
        </w:rPr>
        <w:t>י"ע</w:t>
      </w:r>
      <w:proofErr w:type="spellEnd"/>
      <w:r w:rsidRPr="007C3DF4">
        <w:rPr>
          <w:rFonts w:ascii="Century" w:hAnsi="Century" w:cs="FrankRuehl" w:hint="cs"/>
          <w:spacing w:val="10"/>
          <w:sz w:val="22"/>
          <w:szCs w:val="28"/>
          <w:rtl/>
        </w:rPr>
        <w:t>).</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Cs w:val="28"/>
          <w:rtl/>
        </w:rPr>
      </w:pPr>
      <w:r w:rsidRPr="007C3DF4">
        <w:rPr>
          <w:rFonts w:ascii="Century" w:hAnsi="Century" w:cs="FrankRuehl" w:hint="cs"/>
          <w:spacing w:val="10"/>
          <w:sz w:val="22"/>
          <w:szCs w:val="28"/>
          <w:rtl/>
        </w:rPr>
        <w:t>23.</w:t>
      </w:r>
      <w:r w:rsidRPr="007C3DF4">
        <w:rPr>
          <w:rFonts w:ascii="Century" w:hAnsi="Century" w:cs="FrankRuehl" w:hint="cs"/>
          <w:spacing w:val="10"/>
          <w:sz w:val="22"/>
          <w:szCs w:val="28"/>
          <w:rtl/>
        </w:rPr>
        <w:tab/>
        <w:t xml:space="preserve">אשר לאמירות שיש בהן משום ביזוי ציבורים בישראל וביזוי מוסדות ממלכתיים, </w:t>
      </w:r>
      <w:r w:rsidRPr="007C3DF4">
        <w:rPr>
          <w:rFonts w:ascii="Century" w:hAnsi="Century" w:cs="FrankRuehl" w:hint="cs"/>
          <w:spacing w:val="10"/>
          <w:szCs w:val="28"/>
          <w:rtl/>
        </w:rPr>
        <w:t xml:space="preserve">רלוונטיים לענייננו במיוחד הדברים שנאמרו בעניין </w:t>
      </w:r>
      <w:r w:rsidRPr="007C3DF4">
        <w:rPr>
          <w:rFonts w:ascii="Century" w:hAnsi="Century" w:cs="Miriam" w:hint="cs"/>
          <w:b/>
          <w:rtl/>
        </w:rPr>
        <w:t>אריאל</w:t>
      </w:r>
      <w:r w:rsidRPr="007C3DF4">
        <w:rPr>
          <w:rFonts w:ascii="Century" w:hAnsi="Century" w:cs="FrankRuehl" w:hint="cs"/>
          <w:spacing w:val="10"/>
          <w:szCs w:val="28"/>
          <w:rtl/>
        </w:rPr>
        <w:t xml:space="preserve">. גם שם היה מדובר בפרס ישראל בתחום ספרות תורנית, גם שם היה מדובר במסכת התבטאויות חריפות ופוגעניות כלפי ציבור שלם (קהילת </w:t>
      </w:r>
      <w:proofErr w:type="spellStart"/>
      <w:r w:rsidRPr="007C3DF4">
        <w:rPr>
          <w:rFonts w:ascii="Century" w:hAnsi="Century" w:cs="FrankRuehl" w:hint="cs"/>
          <w:spacing w:val="10"/>
          <w:szCs w:val="28"/>
          <w:rtl/>
        </w:rPr>
        <w:t>הלהט"ב</w:t>
      </w:r>
      <w:proofErr w:type="spellEnd"/>
      <w:r w:rsidRPr="007C3DF4">
        <w:rPr>
          <w:rFonts w:ascii="Century" w:hAnsi="Century" w:cs="FrankRuehl" w:hint="cs"/>
          <w:spacing w:val="10"/>
          <w:szCs w:val="28"/>
          <w:rtl/>
        </w:rPr>
        <w:t xml:space="preserve">), וגם שם היה מדובר בעובד ציבור </w:t>
      </w:r>
      <w:r w:rsidRPr="007C3DF4">
        <w:rPr>
          <w:rFonts w:ascii="Century" w:hAnsi="Century" w:cs="FrankRuehl"/>
          <w:spacing w:val="10"/>
          <w:szCs w:val="28"/>
          <w:rtl/>
        </w:rPr>
        <w:t>–</w:t>
      </w:r>
      <w:r w:rsidRPr="007C3DF4">
        <w:rPr>
          <w:rFonts w:ascii="Century" w:hAnsi="Century" w:cs="FrankRuehl" w:hint="cs"/>
          <w:spacing w:val="10"/>
          <w:szCs w:val="28"/>
          <w:rtl/>
        </w:rPr>
        <w:t xml:space="preserve"> מי שכיהן באותה עת בתפקיד של רב עיר: </w:t>
      </w:r>
    </w:p>
    <w:p w:rsidR="007C3DF4" w:rsidRPr="007C3DF4" w:rsidRDefault="007C3DF4" w:rsidP="007C3DF4">
      <w:pPr>
        <w:ind w:left="1644" w:right="1276"/>
        <w:jc w:val="both"/>
        <w:rPr>
          <w:rFonts w:ascii="Arial TUR" w:hAnsi="Arial TUR" w:cs="FrankRuehl"/>
          <w:spacing w:val="10"/>
          <w:sz w:val="22"/>
          <w:szCs w:val="28"/>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 xml:space="preserve">"ואולם זאת יש להבהיר: במקרה דנן הבחינה אם החלטת שר החינוך לוקה בחוסר סבירות, קשורה בטבורה בשאלה אם התבטאויותיו של הרב אריאל בגנות הקהילה </w:t>
      </w:r>
      <w:proofErr w:type="spellStart"/>
      <w:r w:rsidRPr="007C3DF4">
        <w:rPr>
          <w:rFonts w:ascii="Arial TUR" w:hAnsi="Arial TUR" w:cs="FrankRuehl" w:hint="cs"/>
          <w:spacing w:val="10"/>
          <w:sz w:val="22"/>
          <w:szCs w:val="28"/>
          <w:rtl/>
        </w:rPr>
        <w:t>הלהט"בית</w:t>
      </w:r>
      <w:proofErr w:type="spellEnd"/>
      <w:r w:rsidRPr="007C3DF4">
        <w:rPr>
          <w:rFonts w:ascii="Arial TUR" w:hAnsi="Arial TUR" w:cs="FrankRuehl" w:hint="cs"/>
          <w:spacing w:val="10"/>
          <w:sz w:val="22"/>
          <w:szCs w:val="28"/>
          <w:rtl/>
        </w:rPr>
        <w:t xml:space="preserve"> אמנם מהוות </w:t>
      </w:r>
      <w:bookmarkStart w:id="5" w:name="Seif11"/>
      <w:r w:rsidRPr="007C3DF4">
        <w:rPr>
          <w:rFonts w:ascii="Arial TUR" w:hAnsi="Arial TUR" w:cs="FrankRuehl" w:hint="cs"/>
          <w:spacing w:val="10"/>
          <w:sz w:val="22"/>
          <w:szCs w:val="28"/>
          <w:rtl/>
        </w:rPr>
        <w:t xml:space="preserve">חלק מהתשתית </w:t>
      </w:r>
      <w:bookmarkEnd w:id="5"/>
      <w:r w:rsidRPr="007C3DF4">
        <w:rPr>
          <w:rFonts w:ascii="Arial TUR" w:hAnsi="Arial TUR" w:cs="FrankRuehl" w:hint="cs"/>
          <w:spacing w:val="10"/>
          <w:sz w:val="22"/>
          <w:szCs w:val="28"/>
          <w:rtl/>
        </w:rPr>
        <w:t xml:space="preserve">העובדתית הרלוונטית להמלצתה של ועדת הפרס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ואומר מיד כי מצאנו שיש להשיב על שאלה אחרונה זו בשלילה. בעניין </w:t>
      </w:r>
      <w:proofErr w:type="spellStart"/>
      <w:r w:rsidRPr="007C3DF4">
        <w:rPr>
          <w:rFonts w:ascii="Century" w:hAnsi="Century" w:cs="Miriam" w:hint="cs"/>
          <w:b/>
          <w:sz w:val="22"/>
          <w:rtl/>
        </w:rPr>
        <w:t>שטרנהל</w:t>
      </w:r>
      <w:proofErr w:type="spellEnd"/>
      <w:r w:rsidRPr="007C3DF4">
        <w:rPr>
          <w:rFonts w:ascii="Arial TUR" w:hAnsi="Arial TUR" w:cs="FrankRuehl" w:hint="cs"/>
          <w:spacing w:val="10"/>
          <w:sz w:val="22"/>
          <w:szCs w:val="28"/>
          <w:rtl/>
        </w:rPr>
        <w:t xml:space="preserve"> עמד בית המשפט על כך שלהתבטאויות של מועמדים לפרס ישראל </w:t>
      </w:r>
      <w:r w:rsidRPr="007C3DF4">
        <w:rPr>
          <w:rFonts w:ascii="Century" w:hAnsi="Century" w:cs="Miriam" w:hint="cs"/>
          <w:b/>
          <w:sz w:val="22"/>
          <w:rtl/>
        </w:rPr>
        <w:t>בנושאים שאינם נוגעים במישרין לפועלם המקצועי</w:t>
      </w:r>
      <w:r w:rsidRPr="007C3DF4">
        <w:rPr>
          <w:rFonts w:ascii="Arial TUR" w:hAnsi="Arial TUR" w:cs="FrankRuehl" w:hint="cs"/>
          <w:spacing w:val="10"/>
          <w:sz w:val="22"/>
          <w:szCs w:val="28"/>
          <w:rtl/>
        </w:rPr>
        <w:t xml:space="preserve"> שבגינו הם זוכים בפרס, אין כ</w:t>
      </w:r>
      <w:bookmarkStart w:id="6" w:name="Seif18"/>
      <w:r w:rsidRPr="007C3DF4">
        <w:rPr>
          <w:rFonts w:ascii="Arial TUR" w:hAnsi="Arial TUR" w:cs="FrankRuehl" w:hint="cs"/>
          <w:spacing w:val="10"/>
          <w:sz w:val="22"/>
          <w:szCs w:val="28"/>
          <w:rtl/>
        </w:rPr>
        <w:t xml:space="preserve">כלל מקום </w:t>
      </w:r>
      <w:bookmarkEnd w:id="6"/>
      <w:r w:rsidRPr="007C3DF4">
        <w:rPr>
          <w:rFonts w:ascii="Arial TUR" w:hAnsi="Arial TUR" w:cs="FrankRuehl" w:hint="cs"/>
          <w:spacing w:val="10"/>
          <w:sz w:val="22"/>
          <w:szCs w:val="28"/>
          <w:rtl/>
        </w:rPr>
        <w:t xml:space="preserve">במערך השיקולים שעל ועדות הפרס לשקול [...] לא ניתן ואין זה ראוי אפוא להגביל את חלוקתו של פרס ישראל לאלה המחזיקים בדעות הנטועות בלב הקונצנזוס הציבורי, אלא שיש למדוד את המועמדים לפרס בהתאם להישגיהם המקצועיים ולתרומתם בתחום פועלם [...] הנה כי כן, התבטאויותיו של הרב אריאל ביחס לקהילת </w:t>
      </w:r>
      <w:proofErr w:type="spellStart"/>
      <w:r w:rsidRPr="007C3DF4">
        <w:rPr>
          <w:rFonts w:ascii="Arial TUR" w:hAnsi="Arial TUR" w:cs="FrankRuehl" w:hint="cs"/>
          <w:spacing w:val="10"/>
          <w:sz w:val="22"/>
          <w:szCs w:val="28"/>
          <w:rtl/>
        </w:rPr>
        <w:t>הלהט"ב</w:t>
      </w:r>
      <w:proofErr w:type="spellEnd"/>
      <w:r w:rsidRPr="007C3DF4">
        <w:rPr>
          <w:rFonts w:ascii="Arial TUR" w:hAnsi="Arial TUR" w:cs="FrankRuehl" w:hint="cs"/>
          <w:spacing w:val="10"/>
          <w:sz w:val="22"/>
          <w:szCs w:val="28"/>
          <w:rtl/>
        </w:rPr>
        <w:t xml:space="preserve"> הן צורמות, בוטות ועולבות בציבור שלם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אך אינן נוגעות במישרין לעשייה המקצועית שבגינה הוחלט להעניק לו את הפרס [...] הפרס לא ניתן לרב אריאל בשל התבטאויותיו הפוגעניות אלא בשל הישגיו המקצועיים הראויים לציון, ובוודאי שאינו נותן גושפנקא להתבטאויות אלה" (שם, בפסקאות 10-8 לפסק דינה של השופטת </w:t>
      </w:r>
      <w:r w:rsidRPr="007C3DF4">
        <w:rPr>
          <w:rFonts w:ascii="Century" w:hAnsi="Century" w:cs="Miriam" w:hint="cs"/>
          <w:b/>
          <w:sz w:val="22"/>
          <w:rtl/>
        </w:rPr>
        <w:t>ברון</w:t>
      </w:r>
      <w:r w:rsidRPr="007C3DF4">
        <w:rPr>
          <w:rFonts w:ascii="Arial TUR" w:hAnsi="Arial TUR" w:cs="FrankRuehl" w:hint="cs"/>
          <w:spacing w:val="10"/>
          <w:sz w:val="22"/>
          <w:szCs w:val="28"/>
          <w:rtl/>
        </w:rPr>
        <w:t xml:space="preserve">, הדגשה הוספה </w:t>
      </w:r>
      <w:r w:rsidRPr="007C3DF4">
        <w:rPr>
          <w:rFonts w:ascii="Arial TUR" w:hAnsi="Arial TUR" w:cs="FrankRuehl"/>
          <w:spacing w:val="10"/>
          <w:sz w:val="22"/>
          <w:szCs w:val="28"/>
          <w:rtl/>
        </w:rPr>
        <w:t>–</w:t>
      </w:r>
      <w:r w:rsidRPr="007C3DF4">
        <w:rPr>
          <w:rFonts w:ascii="Arial TUR" w:hAnsi="Arial TUR" w:cs="FrankRuehl" w:hint="cs"/>
          <w:spacing w:val="10"/>
          <w:sz w:val="22"/>
          <w:szCs w:val="28"/>
          <w:rtl/>
        </w:rPr>
        <w:t xml:space="preserve"> </w:t>
      </w:r>
      <w:proofErr w:type="spellStart"/>
      <w:r w:rsidRPr="007C3DF4">
        <w:rPr>
          <w:rFonts w:ascii="Arial TUR" w:hAnsi="Arial TUR" w:cs="FrankRuehl" w:hint="cs"/>
          <w:spacing w:val="10"/>
          <w:sz w:val="22"/>
          <w:szCs w:val="28"/>
          <w:rtl/>
        </w:rPr>
        <w:t>י"ע</w:t>
      </w:r>
      <w:proofErr w:type="spellEnd"/>
      <w:r w:rsidRPr="007C3DF4">
        <w:rPr>
          <w:rFonts w:ascii="Arial TUR" w:hAnsi="Arial TUR" w:cs="FrankRuehl" w:hint="cs"/>
          <w:spacing w:val="10"/>
          <w:sz w:val="22"/>
          <w:szCs w:val="28"/>
          <w:rtl/>
        </w:rPr>
        <w:t xml:space="preserve">). </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בעניינו של </w:t>
      </w:r>
      <w:r w:rsidRPr="007C3DF4">
        <w:rPr>
          <w:rFonts w:ascii="Century" w:hAnsi="Century" w:cs="Miriam" w:hint="cs"/>
          <w:b/>
          <w:sz w:val="22"/>
          <w:rtl/>
        </w:rPr>
        <w:t>שניצר</w:t>
      </w:r>
      <w:r w:rsidRPr="007C3DF4">
        <w:rPr>
          <w:rFonts w:ascii="Arial TUR" w:hAnsi="Arial TUR" w:cs="FrankRuehl" w:hint="cs"/>
          <w:spacing w:val="10"/>
          <w:sz w:val="22"/>
          <w:szCs w:val="28"/>
          <w:rtl/>
        </w:rPr>
        <w:t xml:space="preserve"> היה מדובר בציבור בני </w:t>
      </w:r>
      <w:proofErr w:type="spellStart"/>
      <w:r w:rsidRPr="007C3DF4">
        <w:rPr>
          <w:rFonts w:ascii="Arial TUR" w:hAnsi="Arial TUR" w:cs="FrankRuehl" w:hint="cs"/>
          <w:spacing w:val="10"/>
          <w:sz w:val="22"/>
          <w:szCs w:val="28"/>
          <w:rtl/>
        </w:rPr>
        <w:t>הפלאשמורה</w:t>
      </w:r>
      <w:proofErr w:type="spellEnd"/>
      <w:r w:rsidRPr="007C3DF4">
        <w:rPr>
          <w:rFonts w:ascii="Arial TUR" w:hAnsi="Arial TUR" w:cs="FrankRuehl" w:hint="cs"/>
          <w:spacing w:val="10"/>
          <w:sz w:val="22"/>
          <w:szCs w:val="28"/>
          <w:rtl/>
        </w:rPr>
        <w:t xml:space="preserve">, ובעניין </w:t>
      </w:r>
      <w:r w:rsidRPr="007C3DF4">
        <w:rPr>
          <w:rFonts w:ascii="Century" w:hAnsi="Century" w:cs="Miriam" w:hint="cs"/>
          <w:b/>
          <w:sz w:val="22"/>
          <w:rtl/>
        </w:rPr>
        <w:t>אריאל</w:t>
      </w:r>
      <w:r w:rsidRPr="007C3DF4">
        <w:rPr>
          <w:rFonts w:ascii="Arial TUR" w:hAnsi="Arial TUR" w:cs="FrankRuehl" w:hint="cs"/>
          <w:spacing w:val="10"/>
          <w:sz w:val="22"/>
          <w:szCs w:val="28"/>
          <w:rtl/>
        </w:rPr>
        <w:t xml:space="preserve"> היה מדובר בציבור </w:t>
      </w:r>
      <w:proofErr w:type="spellStart"/>
      <w:r w:rsidRPr="007C3DF4">
        <w:rPr>
          <w:rFonts w:ascii="Arial TUR" w:hAnsi="Arial TUR" w:cs="FrankRuehl" w:hint="cs"/>
          <w:spacing w:val="10"/>
          <w:sz w:val="22"/>
          <w:szCs w:val="28"/>
          <w:rtl/>
        </w:rPr>
        <w:t>הלהט"בים</w:t>
      </w:r>
      <w:proofErr w:type="spellEnd"/>
      <w:r w:rsidRPr="007C3DF4">
        <w:rPr>
          <w:rFonts w:ascii="Arial TUR" w:hAnsi="Arial TUR" w:cs="FrankRuehl" w:hint="cs"/>
          <w:spacing w:val="10"/>
          <w:sz w:val="22"/>
          <w:szCs w:val="28"/>
          <w:rtl/>
        </w:rPr>
        <w:t xml:space="preserve">. אכן, בענייננו מדובר </w:t>
      </w:r>
      <w:r w:rsidRPr="007C3DF4">
        <w:rPr>
          <w:rFonts w:ascii="Century" w:hAnsi="Century" w:cs="Miriam" w:hint="cs"/>
          <w:b/>
          <w:sz w:val="22"/>
          <w:rtl/>
        </w:rPr>
        <w:t>במספר</w:t>
      </w:r>
      <w:r w:rsidRPr="007C3DF4">
        <w:rPr>
          <w:rFonts w:ascii="Arial TUR" w:hAnsi="Arial TUR" w:cs="FrankRuehl" w:hint="cs"/>
          <w:spacing w:val="10"/>
          <w:sz w:val="22"/>
          <w:szCs w:val="28"/>
          <w:rtl/>
        </w:rPr>
        <w:t xml:space="preserve"> ציבורים ובעובדה שהרב יוסף לא חסך מהם את שבט לשונו יש משום תוספת חומרה וקושי. ברם, ברמת העיקרון המנחה לאורך הפסיקה, איני סבור כי יש בכך כדי לשנות את התוצאה:</w:t>
      </w:r>
    </w:p>
    <w:p w:rsidR="007C3DF4" w:rsidRPr="007C3DF4" w:rsidRDefault="007C3DF4" w:rsidP="007C3DF4">
      <w:pPr>
        <w:tabs>
          <w:tab w:val="left" w:pos="800"/>
        </w:tabs>
        <w:spacing w:line="360" w:lineRule="auto"/>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spacing w:val="10"/>
          <w:sz w:val="22"/>
          <w:szCs w:val="28"/>
          <w:rtl/>
        </w:rPr>
      </w:pPr>
      <w:r w:rsidRPr="007C3DF4">
        <w:rPr>
          <w:rFonts w:ascii="Arial TUR" w:hAnsi="Arial TUR" w:cs="FrankRuehl" w:hint="cs"/>
          <w:spacing w:val="10"/>
          <w:sz w:val="22"/>
          <w:szCs w:val="28"/>
          <w:rtl/>
        </w:rPr>
        <w:t>"</w:t>
      </w:r>
      <w:r w:rsidRPr="007C3DF4">
        <w:rPr>
          <w:rFonts w:ascii="Arial TUR" w:hAnsi="Arial TUR" w:cs="FrankRuehl" w:hint="eastAsia"/>
          <w:spacing w:val="10"/>
          <w:sz w:val="22"/>
          <w:szCs w:val="28"/>
          <w:rtl/>
        </w:rPr>
        <w:t>אכן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לאורך</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השנים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פרס</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ישראל</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ניתן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לאנשים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שונים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שהשמיעו</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דברי</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טינה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בוז</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ועלבון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כלפי</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חלקים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בציבור</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על</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רקע</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מוצאם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העדתי</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השקפתם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הדתית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ונטייתם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המינית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באופן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צורם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בוטה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ופוגעני</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חרף</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התבטאויות</w:t>
      </w:r>
      <w:r w:rsidRPr="007C3DF4">
        <w:rPr>
          <w:rFonts w:ascii="Arial TUR" w:hAnsi="Arial TUR" w:cs="FrankRuehl"/>
          <w:spacing w:val="10"/>
          <w:sz w:val="22"/>
          <w:szCs w:val="28"/>
          <w:rtl/>
        </w:rPr>
        <w:t xml:space="preserve"> </w:t>
      </w:r>
      <w:r w:rsidRPr="007C3DF4">
        <w:rPr>
          <w:rFonts w:ascii="Arial TUR" w:hAnsi="Arial TUR" w:cs="FrankRuehl" w:hint="cs"/>
          <w:spacing w:val="10"/>
          <w:sz w:val="22"/>
          <w:szCs w:val="28"/>
          <w:rtl/>
        </w:rPr>
        <w:t xml:space="preserve">קשות </w:t>
      </w:r>
      <w:r w:rsidRPr="007C3DF4">
        <w:rPr>
          <w:rFonts w:ascii="Arial TUR" w:hAnsi="Arial TUR" w:cs="FrankRuehl" w:hint="eastAsia"/>
          <w:spacing w:val="10"/>
          <w:sz w:val="22"/>
          <w:szCs w:val="28"/>
          <w:rtl/>
        </w:rPr>
        <w:t>אלה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של</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המועמדים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שרי</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החינוך</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לדורותיהם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לא</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מצאו</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לנכון</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לשלול</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מהם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את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פרס</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ישראל</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ואימצו</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את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המלצות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הוועדה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בעניינם</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ובית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משפט</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זה</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נמנע</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בתורו</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מהתערבות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בהחלטות</w:t>
      </w:r>
      <w:r w:rsidRPr="007C3DF4">
        <w:rPr>
          <w:rFonts w:ascii="Arial TUR" w:hAnsi="Arial TUR" w:cs="FrankRuehl"/>
          <w:spacing w:val="10"/>
          <w:sz w:val="22"/>
          <w:szCs w:val="28"/>
          <w:rtl/>
        </w:rPr>
        <w:t xml:space="preserve"> </w:t>
      </w:r>
      <w:r w:rsidRPr="007C3DF4">
        <w:rPr>
          <w:rFonts w:ascii="Arial TUR" w:hAnsi="Arial TUR" w:cs="FrankRuehl" w:hint="eastAsia"/>
          <w:spacing w:val="10"/>
          <w:sz w:val="22"/>
          <w:szCs w:val="28"/>
          <w:rtl/>
        </w:rPr>
        <w:t>השרים</w:t>
      </w:r>
      <w:r w:rsidRPr="007C3DF4">
        <w:rPr>
          <w:rFonts w:ascii="Arial TUR" w:hAnsi="Arial TUR" w:cs="FrankRuehl" w:hint="cs"/>
          <w:spacing w:val="10"/>
          <w:sz w:val="22"/>
          <w:szCs w:val="28"/>
          <w:rtl/>
        </w:rPr>
        <w:t xml:space="preserve">" (פסקה 44 לפסק דינה של השופטת </w:t>
      </w:r>
      <w:r w:rsidRPr="007C3DF4">
        <w:rPr>
          <w:rFonts w:ascii="Century" w:hAnsi="Century" w:cs="Miriam" w:hint="cs"/>
          <w:b/>
          <w:sz w:val="22"/>
          <w:rtl/>
        </w:rPr>
        <w:t>וילנר</w:t>
      </w:r>
      <w:r w:rsidRPr="007C3DF4">
        <w:rPr>
          <w:rFonts w:ascii="Arial TUR" w:hAnsi="Arial TUR" w:cs="FrankRuehl" w:hint="cs"/>
          <w:spacing w:val="10"/>
          <w:sz w:val="22"/>
          <w:szCs w:val="28"/>
          <w:rtl/>
        </w:rPr>
        <w:t xml:space="preserve"> בעניין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השני</w:t>
      </w:r>
      <w:r w:rsidRPr="007C3DF4">
        <w:rPr>
          <w:rFonts w:ascii="Arial TUR" w:hAnsi="Arial TUR" w:cs="FrankRuehl" w:hint="cs"/>
          <w:spacing w:val="10"/>
          <w:sz w:val="22"/>
          <w:szCs w:val="28"/>
          <w:rtl/>
        </w:rPr>
        <w:t>)</w:t>
      </w:r>
      <w:r w:rsidRPr="007C3DF4">
        <w:rPr>
          <w:rFonts w:ascii="Arial TUR" w:hAnsi="Arial TUR" w:cs="FrankRuehl"/>
          <w:spacing w:val="10"/>
          <w:sz w:val="22"/>
          <w:szCs w:val="28"/>
          <w:rtl/>
        </w:rPr>
        <w:t>.</w:t>
      </w:r>
    </w:p>
    <w:p w:rsidR="007C3DF4" w:rsidRPr="007C3DF4" w:rsidRDefault="007C3DF4" w:rsidP="007C3DF4">
      <w:pPr>
        <w:ind w:left="1644" w:right="1276"/>
        <w:jc w:val="both"/>
        <w:rPr>
          <w:rFonts w:ascii="Arial TUR" w:hAnsi="Arial TUR" w:cs="FrankRuehl"/>
          <w:spacing w:val="10"/>
          <w:sz w:val="22"/>
          <w:szCs w:val="28"/>
          <w:rtl/>
        </w:rPr>
      </w:pPr>
    </w:p>
    <w:p w:rsidR="007C3DF4" w:rsidRPr="007C3DF4" w:rsidRDefault="007C3DF4" w:rsidP="007C3DF4">
      <w:pPr>
        <w:ind w:left="1644" w:right="1276"/>
        <w:jc w:val="both"/>
        <w:rPr>
          <w:rFonts w:ascii="Arial TUR" w:hAnsi="Arial TUR" w:cs="FrankRuehl"/>
          <w:b/>
          <w:bCs/>
          <w:spacing w:val="10"/>
          <w:sz w:val="22"/>
          <w:szCs w:val="28"/>
          <w:rtl/>
        </w:rPr>
      </w:pPr>
    </w:p>
    <w:p w:rsidR="007C3DF4" w:rsidRPr="007C3DF4" w:rsidRDefault="007C3DF4" w:rsidP="007C3DF4">
      <w:pPr>
        <w:tabs>
          <w:tab w:val="left" w:pos="800"/>
        </w:tabs>
        <w:spacing w:line="360" w:lineRule="auto"/>
        <w:jc w:val="both"/>
        <w:rPr>
          <w:rFonts w:ascii="Arial TUR" w:hAnsi="Arial TUR" w:cs="FrankRuehl"/>
          <w:spacing w:val="10"/>
          <w:sz w:val="22"/>
          <w:szCs w:val="28"/>
          <w:rtl/>
        </w:rPr>
      </w:pPr>
      <w:r w:rsidRPr="007C3DF4">
        <w:rPr>
          <w:rFonts w:ascii="Arial TUR" w:hAnsi="Arial TUR" w:cs="FrankRuehl"/>
          <w:spacing w:val="10"/>
          <w:sz w:val="22"/>
          <w:szCs w:val="28"/>
          <w:rtl/>
        </w:rPr>
        <w:tab/>
      </w:r>
      <w:r w:rsidRPr="007C3DF4">
        <w:rPr>
          <w:rFonts w:ascii="Arial TUR" w:hAnsi="Arial TUR" w:cs="FrankRuehl" w:hint="cs"/>
          <w:spacing w:val="10"/>
          <w:sz w:val="22"/>
          <w:szCs w:val="28"/>
          <w:rtl/>
        </w:rPr>
        <w:t xml:space="preserve">כאמור, הרב יוסף חטא גם בהתקפה על בית המשפט העליון, תוך התעלמות ופגיעה במעמדו הרם כדיין וכנשיא בית הדין הרבני הגדול, ולא כך מתבטא גדול בתורה ומנהיג רוחני (והשוו </w:t>
      </w:r>
      <w:r w:rsidRPr="007C3DF4">
        <w:rPr>
          <w:rFonts w:ascii="Century" w:hAnsi="Century" w:cs="FrankRuehl" w:hint="cs"/>
          <w:spacing w:val="10"/>
          <w:sz w:val="22"/>
          <w:szCs w:val="28"/>
          <w:rtl/>
        </w:rPr>
        <w:t>ל</w:t>
      </w:r>
      <w:r w:rsidRPr="007C3DF4">
        <w:rPr>
          <w:rFonts w:ascii="Century" w:hAnsi="Century" w:cs="FrankRuehl" w:hint="eastAsia"/>
          <w:spacing w:val="10"/>
          <w:sz w:val="22"/>
          <w:szCs w:val="28"/>
          <w:rtl/>
        </w:rPr>
        <w:t>בג</w:t>
      </w:r>
      <w:r w:rsidRPr="007C3DF4">
        <w:rPr>
          <w:rFonts w:ascii="Century" w:hAnsi="Century" w:cs="FrankRuehl"/>
          <w:spacing w:val="10"/>
          <w:sz w:val="22"/>
          <w:szCs w:val="28"/>
          <w:rtl/>
        </w:rPr>
        <w:t>"</w:t>
      </w:r>
      <w:r w:rsidRPr="007C3DF4">
        <w:rPr>
          <w:rFonts w:ascii="Century" w:hAnsi="Century" w:cs="FrankRuehl" w:hint="eastAsia"/>
          <w:spacing w:val="10"/>
          <w:sz w:val="22"/>
          <w:szCs w:val="28"/>
          <w:rtl/>
        </w:rPr>
        <w:t>ץ</w:t>
      </w:r>
      <w:r w:rsidRPr="007C3DF4">
        <w:rPr>
          <w:rFonts w:ascii="Century" w:hAnsi="Century" w:cs="FrankRuehl"/>
          <w:spacing w:val="10"/>
          <w:sz w:val="22"/>
          <w:szCs w:val="28"/>
          <w:rtl/>
        </w:rPr>
        <w:t xml:space="preserve"> 3087/99</w:t>
      </w:r>
      <w:r w:rsidRPr="007C3DF4">
        <w:rPr>
          <w:rFonts w:ascii="Century" w:hAnsi="Century" w:cs="FrankRuehl" w:hint="cs"/>
          <w:spacing w:val="10"/>
          <w:sz w:val="22"/>
          <w:szCs w:val="28"/>
          <w:rtl/>
        </w:rPr>
        <w:t xml:space="preserve"> </w:t>
      </w:r>
      <w:r w:rsidRPr="007C3DF4">
        <w:rPr>
          <w:rFonts w:ascii="Century" w:hAnsi="Century" w:cs="Miriam" w:hint="cs"/>
          <w:b/>
          <w:sz w:val="22"/>
          <w:rtl/>
        </w:rPr>
        <w:t>התנועה למען איכות השלטון בישראל נ' היועץ המשפטי לממשלה</w:t>
      </w:r>
      <w:r w:rsidRPr="007C3DF4">
        <w:rPr>
          <w:rFonts w:ascii="Arial TUR" w:hAnsi="Arial TUR" w:cs="FrankRuehl" w:hint="cs"/>
          <w:spacing w:val="10"/>
          <w:sz w:val="22"/>
          <w:szCs w:val="28"/>
          <w:rtl/>
        </w:rPr>
        <w:t xml:space="preserve">, פ"ד נד(1) 414, 419 (2000) (להלן: </w:t>
      </w:r>
      <w:r w:rsidRPr="007C3DF4">
        <w:rPr>
          <w:rFonts w:ascii="Arial TUR" w:hAnsi="Arial TUR" w:cs="FrankRuehl" w:hint="eastAsia"/>
          <w:spacing w:val="10"/>
          <w:sz w:val="22"/>
          <w:szCs w:val="28"/>
          <w:rtl/>
        </w:rPr>
        <w:t>עניין</w:t>
      </w:r>
      <w:r w:rsidRPr="007C3DF4">
        <w:rPr>
          <w:rFonts w:ascii="Century" w:hAnsi="Century" w:cs="Miriam" w:hint="cs"/>
          <w:b/>
          <w:sz w:val="22"/>
          <w:rtl/>
        </w:rPr>
        <w:t xml:space="preserve"> הרב עובדיה יוסף</w:t>
      </w:r>
      <w:r w:rsidRPr="007C3DF4">
        <w:rPr>
          <w:rFonts w:ascii="Arial TUR" w:hAnsi="Arial TUR" w:cs="FrankRuehl" w:hint="cs"/>
          <w:spacing w:val="10"/>
          <w:sz w:val="22"/>
          <w:szCs w:val="28"/>
          <w:rtl/>
        </w:rPr>
        <w:t xml:space="preserve">)). עם זאת, גם כאן, ברמת העיקרון, אין לכך קשר לפועלו המקצועי של הרב יוסף בתחום הספרות התורנית, שבגינו המליצה הוועדה את שהמליצה. במילים אחרות, זכייתו של הרב יוסף בפרס ישראל היא בכובעו כמחבר של ספרות תורנית עשירה, להבדיל מפועלו כדיין וכרב ראשי.  </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 w:val="22"/>
          <w:szCs w:val="28"/>
          <w:rtl/>
        </w:rPr>
        <w:t>24.</w:t>
      </w:r>
      <w:r w:rsidRPr="007C3DF4">
        <w:rPr>
          <w:rFonts w:ascii="Century" w:hAnsi="Century" w:cs="FrankRuehl" w:hint="cs"/>
          <w:spacing w:val="10"/>
          <w:sz w:val="22"/>
          <w:szCs w:val="28"/>
          <w:rtl/>
        </w:rPr>
        <w:tab/>
        <w:t xml:space="preserve">המלצותיו של הנציב מעוררות קושי נוסף שאין להקל בו ראש. המלצה לבחון אפשרות של הדחת שופט או דיין מכהן אינה עניין של מה בכך, בוודאי כאשר מדובר בעניינו של ראש מערכת. אך גם כאן, עם כל הקושי שבדבר, אין בכך כדי לקבוע כי המלצת ועדת הפרס במקרה דנן "מרעידה את אמות </w:t>
      </w:r>
      <w:proofErr w:type="spellStart"/>
      <w:r w:rsidRPr="007C3DF4">
        <w:rPr>
          <w:rFonts w:ascii="Century" w:hAnsi="Century" w:cs="FrankRuehl" w:hint="cs"/>
          <w:spacing w:val="10"/>
          <w:sz w:val="22"/>
          <w:szCs w:val="28"/>
          <w:rtl/>
        </w:rPr>
        <w:t>הסיפים</w:t>
      </w:r>
      <w:proofErr w:type="spellEnd"/>
      <w:r w:rsidRPr="007C3DF4">
        <w:rPr>
          <w:rFonts w:ascii="Century" w:hAnsi="Century" w:cs="FrankRuehl" w:hint="cs"/>
          <w:spacing w:val="10"/>
          <w:sz w:val="22"/>
          <w:szCs w:val="28"/>
          <w:rtl/>
        </w:rPr>
        <w:t xml:space="preserve">" (פסקה 34 לדברי השופטת </w:t>
      </w:r>
      <w:r w:rsidRPr="007C3DF4">
        <w:rPr>
          <w:rFonts w:ascii="Century" w:hAnsi="Century" w:cs="Miriam" w:hint="cs"/>
          <w:b/>
          <w:sz w:val="22"/>
          <w:rtl/>
        </w:rPr>
        <w:t>וילנר</w:t>
      </w:r>
      <w:r w:rsidRPr="007C3DF4">
        <w:rPr>
          <w:rFonts w:ascii="Arial TUR" w:hAnsi="Arial TUR" w:cs="FrankRuehl" w:hint="cs"/>
          <w:spacing w:val="10"/>
          <w:sz w:val="22"/>
          <w:szCs w:val="28"/>
          <w:rtl/>
        </w:rPr>
        <w:t xml:space="preserve"> בעניין </w:t>
      </w:r>
      <w:proofErr w:type="spellStart"/>
      <w:r w:rsidRPr="007C3DF4">
        <w:rPr>
          <w:rFonts w:ascii="Century" w:hAnsi="Century" w:cs="Miriam" w:hint="cs"/>
          <w:b/>
          <w:sz w:val="22"/>
          <w:rtl/>
        </w:rPr>
        <w:t>גולדרייך</w:t>
      </w:r>
      <w:proofErr w:type="spellEnd"/>
      <w:r w:rsidRPr="007C3DF4">
        <w:rPr>
          <w:rFonts w:ascii="Arial TUR" w:hAnsi="Arial TUR" w:cs="FrankRuehl" w:hint="cs"/>
          <w:spacing w:val="10"/>
          <w:sz w:val="22"/>
          <w:szCs w:val="28"/>
          <w:rtl/>
        </w:rPr>
        <w:t xml:space="preserve"> </w:t>
      </w:r>
      <w:r w:rsidRPr="007C3DF4">
        <w:rPr>
          <w:rFonts w:ascii="Century" w:hAnsi="Century" w:cs="Miriam" w:hint="cs"/>
          <w:b/>
          <w:sz w:val="22"/>
          <w:rtl/>
        </w:rPr>
        <w:t>השני</w:t>
      </w:r>
      <w:r w:rsidRPr="007C3DF4">
        <w:rPr>
          <w:rFonts w:ascii="Arial TUR" w:hAnsi="Arial TUR" w:cs="FrankRuehl" w:hint="cs"/>
          <w:spacing w:val="10"/>
          <w:sz w:val="22"/>
          <w:szCs w:val="28"/>
          <w:rtl/>
        </w:rPr>
        <w:t xml:space="preserve">), כך </w:t>
      </w:r>
      <w:r w:rsidRPr="007C3DF4">
        <w:rPr>
          <w:rFonts w:ascii="Century" w:hAnsi="Century" w:cs="FrankRuehl" w:hint="cs"/>
          <w:spacing w:val="10"/>
          <w:sz w:val="22"/>
          <w:szCs w:val="28"/>
          <w:rtl/>
        </w:rPr>
        <w:t xml:space="preserve">שגם הפעם ידו של העיקרון לפיו אין לערב את פועלו המקצועי של מומלץ ועדת הפרס עם שיקולים "חיצוניים" לתחום המקצועי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על העליונה. </w:t>
      </w:r>
      <w:r w:rsidRPr="007C3DF4">
        <w:rPr>
          <w:rFonts w:ascii="Century" w:hAnsi="Century" w:cs="FrankRuehl"/>
          <w:spacing w:val="10"/>
          <w:sz w:val="22"/>
          <w:szCs w:val="28"/>
          <w:rtl/>
        </w:rPr>
        <w:t>"הזירה המשפטית לחוד, הזירה המקצועית לחוד, ומבחן הציבור לחוד. כפי שציינה חברתי בפסקה 46 לפסק דינה 'פרס ישראל נועד, ככלל, לבטא את הערכת המדינה כלפי פועלו המקצועי של חתן הפרס; אך לא כלפי עמדותיו, שעל טיבן ניתן לקיים דיון בזירה הראויה לכך – הזירה הציבורית'" (</w:t>
      </w:r>
      <w:r w:rsidRPr="007C3DF4">
        <w:rPr>
          <w:rFonts w:ascii="Century" w:hAnsi="Century" w:cs="FrankRuehl" w:hint="cs"/>
          <w:spacing w:val="10"/>
          <w:szCs w:val="28"/>
          <w:rtl/>
        </w:rPr>
        <w:t xml:space="preserve">עניין </w:t>
      </w:r>
      <w:proofErr w:type="spellStart"/>
      <w:r w:rsidRPr="007C3DF4">
        <w:rPr>
          <w:rFonts w:ascii="Century" w:hAnsi="Century" w:cs="Miriam" w:hint="cs"/>
          <w:b/>
          <w:rtl/>
        </w:rPr>
        <w:t>גולדרייך</w:t>
      </w:r>
      <w:proofErr w:type="spellEnd"/>
      <w:r w:rsidRPr="007C3DF4">
        <w:rPr>
          <w:rFonts w:ascii="Century" w:hAnsi="Century" w:cs="Miriam" w:hint="cs"/>
          <w:b/>
          <w:rtl/>
        </w:rPr>
        <w:t xml:space="preserve"> השני</w:t>
      </w:r>
      <w:r w:rsidRPr="007C3DF4">
        <w:rPr>
          <w:rFonts w:ascii="Century" w:hAnsi="Century" w:cs="FrankRuehl" w:hint="cs"/>
          <w:spacing w:val="10"/>
          <w:sz w:val="22"/>
          <w:szCs w:val="28"/>
          <w:rtl/>
        </w:rPr>
        <w:t>,</w:t>
      </w:r>
      <w:r w:rsidRPr="007C3DF4">
        <w:rPr>
          <w:rFonts w:ascii="Century" w:hAnsi="Century" w:cs="FrankRuehl"/>
          <w:spacing w:val="10"/>
          <w:sz w:val="22"/>
          <w:szCs w:val="28"/>
          <w:rtl/>
        </w:rPr>
        <w:t xml:space="preserve"> פסקה 8 לפסק דיני)</w:t>
      </w:r>
      <w:r w:rsidRPr="007C3DF4">
        <w:rPr>
          <w:rFonts w:ascii="Century" w:hAnsi="Century" w:cs="FrankRuehl" w:hint="cs"/>
          <w:spacing w:val="10"/>
          <w:sz w:val="22"/>
          <w:szCs w:val="28"/>
          <w:rtl/>
        </w:rPr>
        <w:t>.</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 w:val="22"/>
          <w:szCs w:val="28"/>
          <w:rtl/>
        </w:rPr>
      </w:pPr>
      <w:r w:rsidRPr="007C3DF4">
        <w:rPr>
          <w:rFonts w:ascii="Century" w:hAnsi="Century" w:cs="FrankRuehl" w:hint="cs"/>
          <w:spacing w:val="10"/>
          <w:sz w:val="22"/>
          <w:szCs w:val="28"/>
          <w:rtl/>
        </w:rPr>
        <w:lastRenderedPageBreak/>
        <w:t>25.</w:t>
      </w:r>
      <w:r w:rsidRPr="007C3DF4">
        <w:rPr>
          <w:rFonts w:ascii="Century" w:hAnsi="Century" w:cs="FrankRuehl" w:hint="cs"/>
          <w:spacing w:val="10"/>
          <w:sz w:val="22"/>
          <w:szCs w:val="28"/>
          <w:rtl/>
        </w:rPr>
        <w:tab/>
        <w:t xml:space="preserve">"מקצועיות ומצוינות </w:t>
      </w:r>
      <w:r w:rsidRPr="007C3DF4">
        <w:rPr>
          <w:rFonts w:ascii="Century" w:hAnsi="Century" w:cs="FrankRuehl"/>
          <w:spacing w:val="10"/>
          <w:sz w:val="22"/>
          <w:szCs w:val="28"/>
          <w:rtl/>
        </w:rPr>
        <w:t>–</w:t>
      </w:r>
      <w:r w:rsidRPr="007C3DF4">
        <w:rPr>
          <w:rFonts w:ascii="Century" w:hAnsi="Century" w:cs="FrankRuehl" w:hint="cs"/>
          <w:spacing w:val="10"/>
          <w:sz w:val="22"/>
          <w:szCs w:val="28"/>
          <w:rtl/>
        </w:rPr>
        <w:t xml:space="preserve"> זו נקודת המוצא וזו גם נקודת הסיום" (פסקה 14 לפסק דיני בעניין </w:t>
      </w:r>
      <w:proofErr w:type="spellStart"/>
      <w:r w:rsidRPr="007C3DF4">
        <w:rPr>
          <w:rFonts w:ascii="Century" w:hAnsi="Century" w:cs="Miriam" w:hint="cs"/>
          <w:b/>
          <w:sz w:val="22"/>
          <w:rtl/>
        </w:rPr>
        <w:t>גולדרייך</w:t>
      </w:r>
      <w:proofErr w:type="spellEnd"/>
      <w:r w:rsidRPr="007C3DF4">
        <w:rPr>
          <w:rFonts w:ascii="Century" w:hAnsi="Century" w:cs="Miriam" w:hint="cs"/>
          <w:b/>
          <w:sz w:val="22"/>
          <w:rtl/>
        </w:rPr>
        <w:t xml:space="preserve"> הראשון</w:t>
      </w:r>
      <w:r w:rsidRPr="007C3DF4">
        <w:rPr>
          <w:rFonts w:ascii="Century" w:hAnsi="Century" w:cs="FrankRuehl" w:hint="cs"/>
          <w:spacing w:val="10"/>
          <w:sz w:val="22"/>
          <w:szCs w:val="28"/>
          <w:rtl/>
        </w:rPr>
        <w:t xml:space="preserve">). </w:t>
      </w:r>
      <w:r w:rsidRPr="007C3DF4">
        <w:rPr>
          <w:rFonts w:ascii="Century" w:hAnsi="Century" w:cs="FrankRuehl" w:hint="cs"/>
          <w:spacing w:val="10"/>
          <w:szCs w:val="28"/>
          <w:rtl/>
        </w:rPr>
        <w:t>פרס ישראל ניתן בגין הישגים מקצועיים, בין אם מדובר במתמטיקה ומדעי המחשב ובין אם מדובר בספרות</w:t>
      </w:r>
      <w:r w:rsidRPr="007C3DF4">
        <w:rPr>
          <w:rFonts w:ascii="Century" w:hAnsi="Century" w:cs="FrankRuehl" w:hint="cs"/>
          <w:spacing w:val="10"/>
          <w:sz w:val="22"/>
          <w:szCs w:val="28"/>
          <w:rtl/>
        </w:rPr>
        <w:t xml:space="preserve"> תורנית. שומה עלינו להישמר מפני הכנסתם של </w:t>
      </w:r>
      <w:r w:rsidRPr="007C3DF4">
        <w:rPr>
          <w:rFonts w:ascii="Arial TUR" w:hAnsi="Arial TUR" w:cs="FrankRuehl" w:hint="cs"/>
          <w:spacing w:val="10"/>
          <w:sz w:val="22"/>
          <w:szCs w:val="28"/>
          <w:rtl/>
        </w:rPr>
        <w:t>שיקולים חברתיים-ערכיים</w:t>
      </w:r>
      <w:r w:rsidRPr="007C3DF4">
        <w:rPr>
          <w:rFonts w:ascii="Century" w:hAnsi="Century" w:cs="FrankRuehl" w:hint="cs"/>
          <w:spacing w:val="10"/>
          <w:sz w:val="22"/>
          <w:szCs w:val="28"/>
          <w:rtl/>
        </w:rPr>
        <w:t xml:space="preserve"> למשוואה, באשר אין לשיקולים אלה שיעור, והם עלולים להפוך כל בחירה של זוכה להליך דו-שלבי: שלב מקצועי ושלב ערכי-חיצוני. בכך אנו עלולים לשנות את המודל המקצועי שבבסיס פרס ישראל.</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Miriam"/>
          <w:b/>
          <w:sz w:val="22"/>
          <w:rtl/>
        </w:rPr>
      </w:pPr>
      <w:r w:rsidRPr="007C3DF4">
        <w:rPr>
          <w:rFonts w:ascii="Century" w:hAnsi="Century" w:cs="Miriam" w:hint="cs"/>
          <w:b/>
          <w:sz w:val="22"/>
          <w:rtl/>
        </w:rPr>
        <w:t>סוף דבר</w:t>
      </w:r>
    </w:p>
    <w:p w:rsidR="007C3DF4" w:rsidRPr="007C3DF4" w:rsidRDefault="007C3DF4" w:rsidP="007C3DF4">
      <w:pPr>
        <w:tabs>
          <w:tab w:val="left" w:pos="800"/>
        </w:tabs>
        <w:spacing w:line="360" w:lineRule="auto"/>
        <w:jc w:val="both"/>
        <w:rPr>
          <w:rFonts w:ascii="Century" w:hAnsi="Century" w:cs="FrankRuehl"/>
          <w:spacing w:val="10"/>
          <w:sz w:val="22"/>
          <w:szCs w:val="28"/>
          <w:rtl/>
        </w:rPr>
      </w:pPr>
    </w:p>
    <w:p w:rsidR="007C3DF4" w:rsidRPr="007C3DF4" w:rsidRDefault="007C3DF4" w:rsidP="007C3DF4">
      <w:pPr>
        <w:tabs>
          <w:tab w:val="left" w:pos="800"/>
        </w:tabs>
        <w:spacing w:line="360" w:lineRule="auto"/>
        <w:jc w:val="both"/>
        <w:rPr>
          <w:rFonts w:ascii="Century" w:hAnsi="Century" w:cs="FrankRuehl"/>
          <w:spacing w:val="10"/>
          <w:szCs w:val="28"/>
          <w:rtl/>
        </w:rPr>
      </w:pPr>
      <w:r w:rsidRPr="007C3DF4">
        <w:rPr>
          <w:rFonts w:ascii="Century" w:hAnsi="Century" w:cs="FrankRuehl" w:hint="cs"/>
          <w:spacing w:val="10"/>
          <w:sz w:val="22"/>
          <w:szCs w:val="28"/>
          <w:rtl/>
        </w:rPr>
        <w:t>26.</w:t>
      </w:r>
      <w:r w:rsidRPr="007C3DF4">
        <w:rPr>
          <w:rFonts w:ascii="Century" w:hAnsi="Century" w:cs="FrankRuehl" w:hint="cs"/>
          <w:spacing w:val="10"/>
          <w:sz w:val="22"/>
          <w:szCs w:val="28"/>
          <w:rtl/>
        </w:rPr>
        <w:tab/>
        <w:t xml:space="preserve">יש לראות בחומרה רבה את התבטאויותיו המקוממות והפסולות של הרב יוסף לאורך שנות כהונתו, דווקא בשל היותו עובד ציבור וסמכות רוחנית-הלכתית לציבור גדול. המלצת ועדת הפרס להעניק את פרס ישראל לרב יוסף מעוררת קושי ואי נחת בקרב ציבורים גדולים בישראל. החלטה זו, כפי שנאמר </w:t>
      </w:r>
      <w:r w:rsidRPr="007C3DF4">
        <w:rPr>
          <w:rFonts w:ascii="Century" w:hAnsi="Century" w:cs="FrankRuehl" w:hint="cs"/>
          <w:spacing w:val="10"/>
          <w:szCs w:val="28"/>
          <w:rtl/>
        </w:rPr>
        <w:t xml:space="preserve">בעניין </w:t>
      </w:r>
      <w:r w:rsidRPr="007C3DF4">
        <w:rPr>
          <w:rFonts w:ascii="Century" w:hAnsi="Century" w:cs="Miriam" w:hint="cs"/>
          <w:b/>
          <w:rtl/>
        </w:rPr>
        <w:t>תומרקין</w:t>
      </w:r>
      <w:r w:rsidRPr="007C3DF4">
        <w:rPr>
          <w:rFonts w:ascii="Century" w:hAnsi="Century" w:cs="FrankRuehl" w:hint="cs"/>
          <w:spacing w:val="10"/>
          <w:szCs w:val="28"/>
          <w:rtl/>
        </w:rPr>
        <w:t xml:space="preserve"> </w:t>
      </w:r>
      <w:r w:rsidRPr="007C3DF4">
        <w:rPr>
          <w:rFonts w:ascii="Century" w:hAnsi="Century" w:cs="FrankRuehl" w:hint="cs"/>
          <w:spacing w:val="10"/>
          <w:sz w:val="22"/>
          <w:szCs w:val="28"/>
          <w:rtl/>
        </w:rPr>
        <w:t>"</w:t>
      </w:r>
      <w:r w:rsidRPr="007C3DF4">
        <w:rPr>
          <w:rFonts w:ascii="Century" w:hAnsi="Century" w:cs="FrankRuehl" w:hint="eastAsia"/>
          <w:spacing w:val="10"/>
          <w:sz w:val="22"/>
          <w:szCs w:val="28"/>
          <w:rtl/>
        </w:rPr>
        <w:t>הגם</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שהיא</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כמעט</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חסינה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מפני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התערבות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מהותית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בשיקוליה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מצדו</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של</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שר</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החינוך</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ואף</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מפני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ביקורת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שיפוטית</w:t>
      </w:r>
      <w:r w:rsidRPr="007C3DF4">
        <w:rPr>
          <w:rFonts w:ascii="Century" w:hAnsi="Century" w:cs="FrankRuehl"/>
          <w:spacing w:val="10"/>
          <w:sz w:val="22"/>
          <w:szCs w:val="28"/>
          <w:rtl/>
        </w:rPr>
        <w:t xml:space="preserve"> – </w:t>
      </w:r>
      <w:r w:rsidRPr="007C3DF4">
        <w:rPr>
          <w:rFonts w:ascii="Century" w:hAnsi="Century" w:cs="FrankRuehl" w:hint="eastAsia"/>
          <w:spacing w:val="10"/>
          <w:sz w:val="22"/>
          <w:szCs w:val="28"/>
          <w:rtl/>
        </w:rPr>
        <w:t>אין</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היא</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חסינה</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מפני</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ביקורת</w:t>
      </w:r>
      <w:r w:rsidRPr="007C3DF4">
        <w:rPr>
          <w:rFonts w:ascii="Century" w:hAnsi="Century" w:cs="FrankRuehl"/>
          <w:spacing w:val="10"/>
          <w:sz w:val="22"/>
          <w:szCs w:val="28"/>
          <w:rtl/>
        </w:rPr>
        <w:t xml:space="preserve"> </w:t>
      </w:r>
      <w:r w:rsidRPr="007C3DF4">
        <w:rPr>
          <w:rFonts w:ascii="Century" w:hAnsi="Century" w:cs="FrankRuehl" w:hint="eastAsia"/>
          <w:spacing w:val="10"/>
          <w:sz w:val="22"/>
          <w:szCs w:val="28"/>
          <w:rtl/>
        </w:rPr>
        <w:t>ציבורית</w:t>
      </w:r>
      <w:r w:rsidRPr="007C3DF4">
        <w:rPr>
          <w:rFonts w:ascii="Century" w:hAnsi="Century" w:cs="FrankRuehl" w:hint="cs"/>
          <w:spacing w:val="10"/>
          <w:sz w:val="22"/>
          <w:szCs w:val="28"/>
          <w:rtl/>
        </w:rPr>
        <w:t xml:space="preserve">". הגם שהפרס עומד למבחנו ולביקורתו של הציבור בזירה הציבורית, הוא </w:t>
      </w:r>
      <w:r w:rsidRPr="007C3DF4">
        <w:rPr>
          <w:rFonts w:ascii="Century" w:hAnsi="Century" w:cs="FrankRuehl"/>
          <w:spacing w:val="10"/>
          <w:szCs w:val="28"/>
          <w:rtl/>
        </w:rPr>
        <w:t>אינו אמור לשקף קונצנזוס של הציבור</w:t>
      </w:r>
      <w:r w:rsidRPr="007C3DF4">
        <w:rPr>
          <w:rFonts w:ascii="Century" w:hAnsi="Century" w:cs="FrankRuehl" w:hint="cs"/>
          <w:spacing w:val="10"/>
          <w:szCs w:val="28"/>
          <w:rtl/>
        </w:rPr>
        <w:t>. לנוכח הכמעט-חסינות שיש להמלצת ועדת הפרס, אין מקום להתערבותנו בזירה המשפטית. גם אם הקורא חש כמי ש"</w:t>
      </w:r>
      <w:r w:rsidRPr="007C3DF4">
        <w:rPr>
          <w:rFonts w:ascii="Century" w:hAnsi="Century" w:cs="FrankRuehl"/>
          <w:spacing w:val="10"/>
          <w:szCs w:val="28"/>
          <w:rtl/>
        </w:rPr>
        <w:t>גורס חצץ בשיניו</w:t>
      </w:r>
      <w:r w:rsidRPr="007C3DF4">
        <w:rPr>
          <w:rFonts w:ascii="Century" w:hAnsi="Century" w:cs="FrankRuehl" w:hint="cs"/>
          <w:spacing w:val="10"/>
          <w:szCs w:val="28"/>
          <w:rtl/>
        </w:rPr>
        <w:t xml:space="preserve">" </w:t>
      </w:r>
      <w:r w:rsidRPr="007C3DF4">
        <w:rPr>
          <w:rFonts w:ascii="Century" w:hAnsi="Century" w:cs="FrankRuehl"/>
          <w:spacing w:val="10"/>
          <w:szCs w:val="28"/>
          <w:rtl/>
        </w:rPr>
        <w:softHyphen/>
        <w:t>–</w:t>
      </w:r>
      <w:r w:rsidRPr="007C3DF4">
        <w:rPr>
          <w:rFonts w:ascii="Century" w:hAnsi="Century" w:cs="FrankRuehl" w:hint="cs"/>
          <w:spacing w:val="10"/>
          <w:szCs w:val="28"/>
          <w:rtl/>
        </w:rPr>
        <w:t xml:space="preserve"> </w:t>
      </w:r>
      <w:proofErr w:type="spellStart"/>
      <w:r w:rsidRPr="007C3DF4">
        <w:rPr>
          <w:rFonts w:ascii="Century" w:hAnsi="Century" w:cs="FrankRuehl" w:hint="cs"/>
          <w:spacing w:val="10"/>
          <w:szCs w:val="28"/>
          <w:rtl/>
        </w:rPr>
        <w:t>ב'רפרור</w:t>
      </w:r>
      <w:proofErr w:type="spellEnd"/>
      <w:r w:rsidRPr="007C3DF4">
        <w:rPr>
          <w:rFonts w:ascii="Century" w:hAnsi="Century" w:cs="FrankRuehl" w:hint="cs"/>
          <w:spacing w:val="10"/>
          <w:szCs w:val="28"/>
          <w:rtl/>
        </w:rPr>
        <w:t xml:space="preserve">' לדברי השופט </w:t>
      </w:r>
      <w:r w:rsidRPr="007C3DF4">
        <w:rPr>
          <w:rFonts w:ascii="Century" w:hAnsi="Century" w:cs="Miriam" w:hint="cs"/>
          <w:b/>
          <w:sz w:val="22"/>
          <w:rtl/>
        </w:rPr>
        <w:t>חשין</w:t>
      </w:r>
      <w:r w:rsidRPr="007C3DF4">
        <w:rPr>
          <w:rFonts w:ascii="Century" w:hAnsi="Century" w:cs="FrankRuehl" w:hint="cs"/>
          <w:spacing w:val="10"/>
          <w:szCs w:val="28"/>
          <w:rtl/>
        </w:rPr>
        <w:t xml:space="preserve"> בעניין הרב </w:t>
      </w:r>
      <w:r w:rsidRPr="007C3DF4">
        <w:rPr>
          <w:rFonts w:ascii="Century" w:hAnsi="Century" w:cs="Miriam" w:hint="cs"/>
          <w:b/>
          <w:sz w:val="22"/>
          <w:rtl/>
        </w:rPr>
        <w:t>עובדיה יוסף</w:t>
      </w:r>
      <w:r w:rsidRPr="007C3DF4">
        <w:rPr>
          <w:rFonts w:ascii="Century" w:hAnsi="Century" w:cs="FrankRuehl" w:hint="cs"/>
          <w:spacing w:val="10"/>
          <w:szCs w:val="28"/>
          <w:rtl/>
        </w:rPr>
        <w:t xml:space="preserve"> </w:t>
      </w:r>
      <w:r w:rsidRPr="007C3DF4">
        <w:rPr>
          <w:rFonts w:ascii="Century" w:hAnsi="Century" w:cs="FrankRuehl"/>
          <w:spacing w:val="10"/>
          <w:szCs w:val="28"/>
          <w:rtl/>
        </w:rPr>
        <w:t>–</w:t>
      </w:r>
      <w:r w:rsidRPr="007C3DF4">
        <w:rPr>
          <w:rFonts w:ascii="Century" w:hAnsi="Century" w:cs="FrankRuehl" w:hint="cs"/>
          <w:spacing w:val="10"/>
          <w:szCs w:val="28"/>
          <w:rtl/>
        </w:rPr>
        <w:t xml:space="preserve"> זו התוצאה המתחייבת לטעמי מקורפוס הפסיקה בעניין פרס ישראל, ו</w:t>
      </w:r>
      <w:r w:rsidRPr="007C3DF4">
        <w:rPr>
          <w:rFonts w:ascii="Century" w:hAnsi="Century" w:cs="FrankRuehl" w:hint="eastAsia"/>
          <w:spacing w:val="10"/>
          <w:szCs w:val="28"/>
          <w:rtl/>
        </w:rPr>
        <w:t>פשיטא</w:t>
      </w:r>
      <w:r w:rsidRPr="007C3DF4">
        <w:rPr>
          <w:rFonts w:ascii="Century" w:hAnsi="Century" w:cs="FrankRuehl"/>
          <w:spacing w:val="10"/>
          <w:szCs w:val="28"/>
          <w:rtl/>
        </w:rPr>
        <w:t xml:space="preserve"> </w:t>
      </w:r>
      <w:r w:rsidRPr="007C3DF4">
        <w:rPr>
          <w:rFonts w:ascii="Century" w:hAnsi="Century" w:cs="FrankRuehl" w:hint="eastAsia"/>
          <w:spacing w:val="10"/>
          <w:szCs w:val="28"/>
          <w:rtl/>
        </w:rPr>
        <w:t>כי</w:t>
      </w:r>
      <w:r w:rsidRPr="007C3DF4">
        <w:rPr>
          <w:rFonts w:ascii="Century" w:hAnsi="Century" w:cs="FrankRuehl"/>
          <w:spacing w:val="10"/>
          <w:szCs w:val="28"/>
          <w:rtl/>
        </w:rPr>
        <w:t xml:space="preserve"> </w:t>
      </w:r>
      <w:r w:rsidRPr="007C3DF4">
        <w:rPr>
          <w:rFonts w:ascii="Century" w:hAnsi="Century" w:cs="FrankRuehl" w:hint="eastAsia"/>
          <w:spacing w:val="10"/>
          <w:szCs w:val="28"/>
          <w:rtl/>
        </w:rPr>
        <w:t>אין</w:t>
      </w:r>
      <w:r w:rsidRPr="007C3DF4">
        <w:rPr>
          <w:rFonts w:ascii="Century" w:hAnsi="Century" w:cs="FrankRuehl"/>
          <w:spacing w:val="10"/>
          <w:szCs w:val="28"/>
          <w:rtl/>
        </w:rPr>
        <w:t xml:space="preserve"> </w:t>
      </w:r>
      <w:r w:rsidRPr="007C3DF4">
        <w:rPr>
          <w:rFonts w:ascii="Century" w:hAnsi="Century" w:cs="FrankRuehl" w:hint="eastAsia"/>
          <w:spacing w:val="10"/>
          <w:szCs w:val="28"/>
          <w:rtl/>
        </w:rPr>
        <w:t>להסיק</w:t>
      </w:r>
      <w:r w:rsidRPr="007C3DF4">
        <w:rPr>
          <w:rFonts w:ascii="Century" w:hAnsi="Century" w:cs="FrankRuehl"/>
          <w:spacing w:val="10"/>
          <w:szCs w:val="28"/>
          <w:rtl/>
        </w:rPr>
        <w:t xml:space="preserve"> </w:t>
      </w:r>
      <w:r w:rsidRPr="007C3DF4">
        <w:rPr>
          <w:rFonts w:ascii="Century" w:hAnsi="Century" w:cs="FrankRuehl" w:hint="eastAsia"/>
          <w:spacing w:val="10"/>
          <w:szCs w:val="28"/>
          <w:rtl/>
        </w:rPr>
        <w:t>מ</w:t>
      </w:r>
      <w:r w:rsidRPr="007C3DF4">
        <w:rPr>
          <w:rFonts w:ascii="Century" w:hAnsi="Century" w:cs="FrankRuehl" w:hint="cs"/>
          <w:spacing w:val="10"/>
          <w:szCs w:val="28"/>
          <w:rtl/>
        </w:rPr>
        <w:t xml:space="preserve">תוצאת פסק דיננו </w:t>
      </w:r>
      <w:r w:rsidRPr="007C3DF4">
        <w:rPr>
          <w:rFonts w:ascii="Century" w:hAnsi="Century" w:cs="FrankRuehl" w:hint="eastAsia"/>
          <w:spacing w:val="10"/>
          <w:szCs w:val="28"/>
          <w:rtl/>
        </w:rPr>
        <w:t>מ</w:t>
      </w:r>
      <w:r w:rsidRPr="007C3DF4">
        <w:rPr>
          <w:rFonts w:ascii="Century" w:hAnsi="Century" w:cs="FrankRuehl" w:hint="cs"/>
          <w:spacing w:val="10"/>
          <w:szCs w:val="28"/>
          <w:rtl/>
        </w:rPr>
        <w:t xml:space="preserve">שום מתן הכשר או </w:t>
      </w:r>
      <w:r w:rsidRPr="007C3DF4">
        <w:rPr>
          <w:rFonts w:ascii="Century" w:hAnsi="Century" w:cs="FrankRuehl" w:hint="eastAsia"/>
          <w:spacing w:val="10"/>
          <w:szCs w:val="28"/>
          <w:rtl/>
        </w:rPr>
        <w:t>גושפנקא</w:t>
      </w:r>
      <w:r w:rsidRPr="007C3DF4">
        <w:rPr>
          <w:rFonts w:ascii="Century" w:hAnsi="Century" w:cs="FrankRuehl"/>
          <w:spacing w:val="10"/>
          <w:szCs w:val="28"/>
          <w:rtl/>
        </w:rPr>
        <w:t xml:space="preserve"> </w:t>
      </w:r>
      <w:r w:rsidRPr="007C3DF4">
        <w:rPr>
          <w:rFonts w:ascii="Century" w:hAnsi="Century" w:cs="FrankRuehl" w:hint="eastAsia"/>
          <w:spacing w:val="10"/>
          <w:szCs w:val="28"/>
          <w:rtl/>
        </w:rPr>
        <w:t>לאמירות</w:t>
      </w:r>
      <w:r w:rsidRPr="007C3DF4">
        <w:rPr>
          <w:rFonts w:ascii="Century" w:hAnsi="Century" w:cs="FrankRuehl" w:hint="cs"/>
          <w:spacing w:val="10"/>
          <w:szCs w:val="28"/>
          <w:rtl/>
        </w:rPr>
        <w:t xml:space="preserve">יו המקוממות של הרב יוסף.  </w:t>
      </w:r>
    </w:p>
    <w:p w:rsidR="007C3DF4" w:rsidRPr="007C3DF4" w:rsidRDefault="007C3DF4" w:rsidP="007C3DF4">
      <w:pPr>
        <w:tabs>
          <w:tab w:val="left" w:pos="800"/>
        </w:tabs>
        <w:spacing w:line="360" w:lineRule="auto"/>
        <w:jc w:val="both"/>
        <w:rPr>
          <w:rFonts w:ascii="Century" w:hAnsi="Century" w:cs="FrankRuehl"/>
          <w:spacing w:val="10"/>
          <w:szCs w:val="28"/>
          <w:rtl/>
        </w:rPr>
      </w:pPr>
    </w:p>
    <w:p w:rsidR="007C3DF4" w:rsidRPr="007C3DF4" w:rsidRDefault="007C3DF4" w:rsidP="007C3DF4">
      <w:pPr>
        <w:tabs>
          <w:tab w:val="left" w:pos="800"/>
        </w:tabs>
        <w:spacing w:line="360" w:lineRule="auto"/>
        <w:jc w:val="both"/>
        <w:rPr>
          <w:rFonts w:ascii="Century" w:hAnsi="Century" w:cs="FrankRuehl"/>
          <w:spacing w:val="10"/>
          <w:szCs w:val="28"/>
          <w:rtl/>
        </w:rPr>
      </w:pPr>
      <w:r w:rsidRPr="007C3DF4">
        <w:rPr>
          <w:rFonts w:ascii="Century" w:hAnsi="Century" w:cs="FrankRuehl"/>
          <w:spacing w:val="10"/>
          <w:szCs w:val="28"/>
          <w:rtl/>
        </w:rPr>
        <w:tab/>
      </w:r>
      <w:r w:rsidRPr="007C3DF4">
        <w:rPr>
          <w:rFonts w:ascii="Century" w:hAnsi="Century" w:cs="FrankRuehl" w:hint="cs"/>
          <w:spacing w:val="10"/>
          <w:szCs w:val="28"/>
          <w:rtl/>
        </w:rPr>
        <w:t xml:space="preserve">אשר על כן, העתירות נדחות. </w:t>
      </w:r>
    </w:p>
    <w:p w:rsidR="007C3DF4" w:rsidRPr="00C71CAD" w:rsidRDefault="007C3DF4" w:rsidP="00C71CAD">
      <w:pPr>
        <w:pStyle w:val="Ruller41"/>
        <w:rPr>
          <w:rFonts w:ascii="Century" w:hAnsi="Century"/>
          <w:rtl/>
        </w:rPr>
      </w:pPr>
    </w:p>
    <w:p w:rsidR="00C71CAD" w:rsidRPr="00C71CAD" w:rsidRDefault="00C71CAD" w:rsidP="00C71CAD">
      <w:pPr>
        <w:pStyle w:val="Ruller41"/>
        <w:rPr>
          <w:rFonts w:ascii="Century" w:hAnsi="Century"/>
          <w:rtl/>
        </w:rPr>
      </w:pPr>
    </w:p>
    <w:tbl>
      <w:tblPr>
        <w:bidiVisual/>
        <w:tblW w:w="0" w:type="auto"/>
        <w:tblLook w:val="01E0" w:firstRow="1" w:lastRow="1" w:firstColumn="1" w:lastColumn="1" w:noHBand="0" w:noVBand="0"/>
      </w:tblPr>
      <w:tblGrid>
        <w:gridCol w:w="2769"/>
        <w:gridCol w:w="2769"/>
        <w:gridCol w:w="2774"/>
      </w:tblGrid>
      <w:tr w:rsidR="007C3DF4" w:rsidRPr="004776CB" w:rsidTr="007C3DF4">
        <w:tc>
          <w:tcPr>
            <w:tcW w:w="2769" w:type="dxa"/>
            <w:shd w:val="clear" w:color="auto" w:fill="auto"/>
          </w:tcPr>
          <w:p w:rsidR="007C3DF4" w:rsidRPr="004776CB" w:rsidRDefault="007C3DF4" w:rsidP="00152136">
            <w:pPr>
              <w:pStyle w:val="Ruller41"/>
              <w:rPr>
                <w:rtl/>
              </w:rPr>
            </w:pPr>
          </w:p>
        </w:tc>
        <w:tc>
          <w:tcPr>
            <w:tcW w:w="2769" w:type="dxa"/>
            <w:shd w:val="clear" w:color="auto" w:fill="auto"/>
          </w:tcPr>
          <w:p w:rsidR="007C3DF4" w:rsidRPr="004776CB" w:rsidRDefault="007C3DF4" w:rsidP="00152136">
            <w:pPr>
              <w:pStyle w:val="Ruller41"/>
              <w:rPr>
                <w:rtl/>
              </w:rPr>
            </w:pPr>
          </w:p>
        </w:tc>
        <w:tc>
          <w:tcPr>
            <w:tcW w:w="2774" w:type="dxa"/>
            <w:shd w:val="clear" w:color="auto" w:fill="auto"/>
          </w:tcPr>
          <w:p w:rsidR="007C3DF4" w:rsidRPr="004776CB" w:rsidRDefault="007C3DF4" w:rsidP="00BB045E">
            <w:pPr>
              <w:pStyle w:val="Ruller41"/>
              <w:jc w:val="center"/>
              <w:rPr>
                <w:rtl/>
              </w:rPr>
            </w:pPr>
            <w:r w:rsidRPr="004776CB">
              <w:rPr>
                <w:rtl/>
              </w:rPr>
              <w:t>ש ו פ ט</w:t>
            </w:r>
          </w:p>
        </w:tc>
      </w:tr>
    </w:tbl>
    <w:p w:rsidR="00BB045E" w:rsidRDefault="00BB045E" w:rsidP="00BB045E">
      <w:pPr>
        <w:pStyle w:val="Ruller41"/>
        <w:rPr>
          <w:rFonts w:ascii="Century" w:hAnsi="Century"/>
          <w:rtl/>
        </w:rPr>
      </w:pPr>
    </w:p>
    <w:p w:rsidR="006042C9" w:rsidRPr="00BB045E" w:rsidRDefault="006042C9" w:rsidP="00BB045E">
      <w:pPr>
        <w:pStyle w:val="Ruller41"/>
        <w:rPr>
          <w:rFonts w:ascii="Century" w:hAnsi="Century"/>
          <w:rtl/>
        </w:rPr>
      </w:pPr>
    </w:p>
    <w:p w:rsidR="007C3DF4" w:rsidRDefault="007C3DF4" w:rsidP="00BB045E">
      <w:pPr>
        <w:tabs>
          <w:tab w:val="left" w:pos="800"/>
        </w:tabs>
        <w:jc w:val="both"/>
        <w:rPr>
          <w:rFonts w:cs="Miriam"/>
          <w:rtl/>
        </w:rPr>
      </w:pPr>
      <w:r w:rsidRPr="004776CB">
        <w:rPr>
          <w:rFonts w:cs="Miriam" w:hint="cs"/>
          <w:u w:val="single"/>
          <w:rtl/>
        </w:rPr>
        <w:t>השופטת</w:t>
      </w:r>
      <w:r w:rsidRPr="007C3DF4">
        <w:rPr>
          <w:rFonts w:cs="Miriam" w:hint="cs"/>
          <w:u w:val="single"/>
          <w:rtl/>
        </w:rPr>
        <w:t xml:space="preserve"> ר' רונן</w:t>
      </w:r>
      <w:r w:rsidRPr="004776CB">
        <w:rPr>
          <w:rFonts w:cs="Miriam" w:hint="cs"/>
          <w:rtl/>
        </w:rPr>
        <w:t>:</w:t>
      </w:r>
    </w:p>
    <w:p w:rsidR="00BB045E" w:rsidRPr="00BB045E" w:rsidRDefault="00BB045E" w:rsidP="00BB045E">
      <w:pPr>
        <w:pStyle w:val="Ruller41"/>
        <w:rPr>
          <w:rFonts w:ascii="Century" w:hAnsi="Century"/>
          <w:rtl/>
        </w:rPr>
      </w:pPr>
    </w:p>
    <w:p w:rsidR="00BB045E" w:rsidRDefault="00BB045E" w:rsidP="00BB045E">
      <w:pPr>
        <w:pStyle w:val="Ruller41"/>
        <w:rPr>
          <w:rtl/>
        </w:rPr>
      </w:pPr>
      <w:r>
        <w:rPr>
          <w:rtl/>
        </w:rPr>
        <w:tab/>
      </w:r>
      <w:r>
        <w:rPr>
          <w:rFonts w:hint="cs"/>
          <w:rtl/>
        </w:rPr>
        <w:t xml:space="preserve">קראתי את חוות דעתו המקיפה של חברי השופט </w:t>
      </w:r>
      <w:r w:rsidRPr="00E001C2">
        <w:rPr>
          <w:rFonts w:ascii="Miriam" w:hAnsi="Miriam" w:cs="Miriam" w:hint="cs"/>
          <w:sz w:val="24"/>
          <w:szCs w:val="24"/>
          <w:rtl/>
        </w:rPr>
        <w:t>י' עמית</w:t>
      </w:r>
      <w:r>
        <w:rPr>
          <w:rFonts w:hint="cs"/>
          <w:rtl/>
        </w:rPr>
        <w:t xml:space="preserve">. כפי שהוא ציין, הכלל הנהוג בפסיקתו של בית משפט זה ביחס לאפשרות להתערב בהחלטות הנוגעות למתן פרס ישראל, הוא כי התערבות כזו - אף שהיא אפשרית - שמורה למקרים קיצוניים וחריגים ביותר בלבד. השאלה הראשונה שיש לבחון אותה במסגרת העתירות שלפנינו </w:t>
      </w:r>
      <w:r>
        <w:rPr>
          <w:rFonts w:hint="cs"/>
          <w:rtl/>
        </w:rPr>
        <w:lastRenderedPageBreak/>
        <w:t xml:space="preserve">היא אפוא האם המקרה דנן הוא מקרה חריף וקיצוני די הצורך כדי להצדיק התערבות בהחלטה אודות מתן הפרס לרב יוסף. </w:t>
      </w:r>
    </w:p>
    <w:p w:rsidR="00BB045E" w:rsidRDefault="00BB045E" w:rsidP="00BB045E">
      <w:pPr>
        <w:pStyle w:val="Ruller41"/>
        <w:rPr>
          <w:rtl/>
        </w:rPr>
      </w:pPr>
    </w:p>
    <w:p w:rsidR="00BB045E" w:rsidRDefault="00BB045E" w:rsidP="00BB045E">
      <w:pPr>
        <w:pStyle w:val="Ruller41"/>
        <w:rPr>
          <w:rtl/>
        </w:rPr>
      </w:pPr>
      <w:r>
        <w:rPr>
          <w:rtl/>
        </w:rPr>
        <w:tab/>
      </w:r>
      <w:r>
        <w:rPr>
          <w:rFonts w:hint="cs"/>
          <w:rtl/>
        </w:rPr>
        <w:t xml:space="preserve">עוד עולה מההלכה הפסוקה כי הפרס ניתן בגין פועלו המקצועי של מקבלו, וכי לכן ככלל אין רלוונטיות להתבטאויות חיצוניות של מקבל הפרס ביחס לנושאים שאינם קשורים בתחום המקצועי בגינו הוא מקבל את הפרס. משכך, שאלה שנייה שצריכה בחינה ובירור היא אפוא האם ההתבטאויות של הרב יוסף הן "חיצוניות" לנושא בגינו הוחלט לתת לו את הפרס אם לאו. </w:t>
      </w:r>
    </w:p>
    <w:p w:rsidR="00BB045E" w:rsidRDefault="00BB045E" w:rsidP="00BB045E">
      <w:pPr>
        <w:pStyle w:val="Ruller41"/>
        <w:rPr>
          <w:rtl/>
        </w:rPr>
      </w:pPr>
    </w:p>
    <w:p w:rsidR="00BB045E" w:rsidRDefault="00BB045E" w:rsidP="004121B6">
      <w:pPr>
        <w:pStyle w:val="Ruller41"/>
        <w:rPr>
          <w:rtl/>
        </w:rPr>
      </w:pPr>
      <w:r>
        <w:rPr>
          <w:rtl/>
        </w:rPr>
        <w:tab/>
      </w:r>
      <w:r>
        <w:rPr>
          <w:rFonts w:hint="cs"/>
          <w:rtl/>
        </w:rPr>
        <w:t xml:space="preserve">נתחיל בשאלה השנייה, קרי הקשר בין ההתבטאויות לבין התחום המקצועי בגינו מקבל הרב יוסף את הפרס. בהקשר זה ישנם מקרים בהם ברור כי מקבל הפרס עוסק בנושאים שאין כל קשר שהוא בינם לבין ההתבטאויות המיוחסות לו (דוגמת מי שמתבטא בעניינים פוליטיים כאשר הוא מקבל את הפרס בגין מחקר מדעי וכיו"ב). המקרה דנן הוא גבולי יותר. מחד גיסא, הפרס הוענק לרב יוסף </w:t>
      </w:r>
      <w:r>
        <w:rPr>
          <w:rtl/>
        </w:rPr>
        <w:t>–</w:t>
      </w:r>
      <w:r>
        <w:rPr>
          <w:rFonts w:hint="cs"/>
          <w:rtl/>
        </w:rPr>
        <w:t xml:space="preserve"> כפי שהבהיר גם חברי, בעיקר בגין הכתיבה התורנית שלו, בסדרת ספרי "ילקוט יוסף", כתיבה שהיא מקיפה ונוגעת למכלול תחומי החיים. יחד עם זאת, הוועדה ציינה בשולי נימוקיה גם את היותו של </w:t>
      </w:r>
      <w:r w:rsidR="004121B6">
        <w:rPr>
          <w:rFonts w:hint="cs"/>
          <w:rtl/>
        </w:rPr>
        <w:t>ה</w:t>
      </w:r>
      <w:r>
        <w:rPr>
          <w:rFonts w:hint="cs"/>
          <w:rtl/>
        </w:rPr>
        <w:t xml:space="preserve">רב יוסף </w:t>
      </w:r>
      <w:r>
        <w:rPr>
          <w:rtl/>
        </w:rPr>
        <w:t>–</w:t>
      </w:r>
      <w:r>
        <w:rPr>
          <w:rFonts w:hint="cs"/>
          <w:rtl/>
        </w:rPr>
        <w:t xml:space="preserve"> הרב הראשי לישראל ונשיא בית הדין הרבני הגדול; ואת תרומתו הרבה לחינוך והפצת התורה, בין היתר במתן שיעורי תורה והלכה במסגר</w:t>
      </w:r>
      <w:r w:rsidR="004121B6">
        <w:rPr>
          <w:rFonts w:hint="cs"/>
          <w:rtl/>
        </w:rPr>
        <w:t>ו</w:t>
      </w:r>
      <w:r>
        <w:rPr>
          <w:rFonts w:hint="cs"/>
          <w:rtl/>
        </w:rPr>
        <w:t xml:space="preserve">ת ציבוריות שונות. </w:t>
      </w:r>
    </w:p>
    <w:p w:rsidR="00BB045E" w:rsidRDefault="00BB045E" w:rsidP="00BB045E">
      <w:pPr>
        <w:pStyle w:val="Ruller41"/>
        <w:rPr>
          <w:rtl/>
        </w:rPr>
      </w:pPr>
    </w:p>
    <w:p w:rsidR="00BB045E" w:rsidRDefault="00BB045E" w:rsidP="004121B6">
      <w:pPr>
        <w:pStyle w:val="Ruller41"/>
        <w:rPr>
          <w:rtl/>
        </w:rPr>
      </w:pPr>
      <w:r>
        <w:rPr>
          <w:rtl/>
        </w:rPr>
        <w:tab/>
      </w:r>
      <w:r>
        <w:rPr>
          <w:rFonts w:hint="cs"/>
          <w:rtl/>
        </w:rPr>
        <w:t xml:space="preserve">הדברים המיוחסים לרב יוסף שצוינו בעתירה, הם דברים שנאמרו על ידו בהיותו הרב הראשי לישראל; נשיא בית הדין הרבני הגדול; ובמהלך שיעורי תורה והלכה שנתן במסגרות שונות. מכאן שאף שאין מדובר בדברים הכרוכים בליבה של פועלו המקצועי של הרב יוסף שבגינו הוענק לו הפרס </w:t>
      </w:r>
      <w:r>
        <w:rPr>
          <w:rtl/>
        </w:rPr>
        <w:t>–</w:t>
      </w:r>
      <w:r>
        <w:rPr>
          <w:rFonts w:hint="cs"/>
          <w:rtl/>
        </w:rPr>
        <w:t xml:space="preserve"> אין לומר כי מדובר בנושאים שהם חיצוניים לחלוטין לכך. </w:t>
      </w:r>
    </w:p>
    <w:p w:rsidR="00BB045E" w:rsidRDefault="00BB045E" w:rsidP="00BB045E">
      <w:pPr>
        <w:pStyle w:val="Ruller41"/>
        <w:rPr>
          <w:rtl/>
        </w:rPr>
      </w:pPr>
    </w:p>
    <w:p w:rsidR="00BB045E" w:rsidRDefault="00BB045E" w:rsidP="00BB045E">
      <w:pPr>
        <w:pStyle w:val="Ruller41"/>
        <w:rPr>
          <w:rtl/>
        </w:rPr>
      </w:pPr>
      <w:r>
        <w:rPr>
          <w:rtl/>
        </w:rPr>
        <w:tab/>
      </w:r>
      <w:r>
        <w:rPr>
          <w:rFonts w:hint="cs"/>
          <w:rtl/>
        </w:rPr>
        <w:t>כאמור, שאלה נוספת שיש לבחון אותה היא מידת החומרה שיש לייחס לדבריו של הרב, וההשלכה של החומר</w:t>
      </w:r>
      <w:r w:rsidR="004121B6">
        <w:rPr>
          <w:rFonts w:hint="cs"/>
          <w:rtl/>
        </w:rPr>
        <w:t>ה הזו על האפשרות הנדירה להתערב</w:t>
      </w:r>
      <w:r>
        <w:rPr>
          <w:rFonts w:hint="cs"/>
          <w:rtl/>
        </w:rPr>
        <w:t xml:space="preserve"> בהחלטה להעניק לו את הפרס לאור דברים אלה. זאת מאחר שכאמור</w:t>
      </w:r>
      <w:r w:rsidR="004121B6">
        <w:rPr>
          <w:rFonts w:hint="cs"/>
          <w:rtl/>
        </w:rPr>
        <w:t>,</w:t>
      </w:r>
      <w:r>
        <w:rPr>
          <w:rFonts w:hint="cs"/>
          <w:rtl/>
        </w:rPr>
        <w:t xml:space="preserve"> הגם שהביקורת השיפוטית על מתן פרס ישראל היא מצומצמת מאוד, הותיר בית משפט זה אפשרות לקיומה של ביקורת כזו, במקרים קיצוניים וחריפים ביותר (כאשר "המועמד עשה שימוש בביטויים גזעניים קשים כלפי אדם או ציבור מסוים, אם נקט ביזוי קשה כלפי אלה, או אם שלל את קיומה של מדינת ישראל כמדינה יהודית ודמוקרטית, הסית לגזענות ולאלימות או תמך במאבק מזוין נגד המדינה" </w:t>
      </w:r>
      <w:r w:rsidR="004121B6">
        <w:rPr>
          <w:rFonts w:hint="cs"/>
          <w:rtl/>
        </w:rPr>
        <w:t>(</w:t>
      </w:r>
      <w:r>
        <w:rPr>
          <w:rFonts w:hint="cs"/>
          <w:rtl/>
        </w:rPr>
        <w:t xml:space="preserve">בג"ץ 2199/21 </w:t>
      </w:r>
      <w:r w:rsidRPr="00A7067A">
        <w:rPr>
          <w:rFonts w:ascii="Century" w:hAnsi="Century" w:cs="Miriam" w:hint="cs"/>
          <w:b/>
          <w:spacing w:val="0"/>
          <w:szCs w:val="24"/>
          <w:rtl/>
        </w:rPr>
        <w:t>ועדת השופטים נ' שר החינוך</w:t>
      </w:r>
      <w:r w:rsidRPr="00A7067A">
        <w:rPr>
          <w:rFonts w:hint="cs"/>
          <w:rtl/>
        </w:rPr>
        <w:t xml:space="preserve"> </w:t>
      </w:r>
      <w:r>
        <w:rPr>
          <w:rFonts w:hint="cs"/>
          <w:rtl/>
        </w:rPr>
        <w:t xml:space="preserve">(12.8.2021), השופט </w:t>
      </w:r>
      <w:r w:rsidRPr="00651C97">
        <w:rPr>
          <w:rFonts w:ascii="Miriam" w:hAnsi="Miriam" w:cs="Miriam" w:hint="cs"/>
          <w:sz w:val="24"/>
          <w:szCs w:val="24"/>
          <w:rtl/>
        </w:rPr>
        <w:t>נ' סולברג</w:t>
      </w:r>
      <w:r>
        <w:rPr>
          <w:rFonts w:hint="cs"/>
          <w:rtl/>
        </w:rPr>
        <w:t xml:space="preserve">). </w:t>
      </w:r>
    </w:p>
    <w:p w:rsidR="00BB045E" w:rsidRDefault="00BB045E" w:rsidP="00BB045E">
      <w:pPr>
        <w:pStyle w:val="Ruller41"/>
        <w:rPr>
          <w:rtl/>
        </w:rPr>
      </w:pPr>
    </w:p>
    <w:p w:rsidR="00BB045E" w:rsidRDefault="00BB045E" w:rsidP="00BB045E">
      <w:pPr>
        <w:pStyle w:val="Ruller41"/>
        <w:rPr>
          <w:rtl/>
        </w:rPr>
      </w:pPr>
      <w:r>
        <w:rPr>
          <w:rtl/>
        </w:rPr>
        <w:tab/>
      </w:r>
      <w:r>
        <w:rPr>
          <w:rFonts w:hint="cs"/>
          <w:rtl/>
        </w:rPr>
        <w:t xml:space="preserve">לטעמי, גם בהקשר זה מדובר במקרה גבולי. כך, הדברים המיוחסים לרב אינם רק "מקוממים".  כפי שהבהיר חברי, אלה אף דברים שבגינם המליץ נציב קבילות הציבור על השופטים לוועדה לבחירת שופטים לסיים את כהונתו של הרב, ולשקול האם הוא ראוי לכהן כדיין בבית הדין הרבני הגדול. </w:t>
      </w:r>
    </w:p>
    <w:p w:rsidR="00BB045E" w:rsidRDefault="00BB045E" w:rsidP="00BB045E">
      <w:pPr>
        <w:pStyle w:val="Ruller41"/>
        <w:rPr>
          <w:rtl/>
        </w:rPr>
      </w:pPr>
    </w:p>
    <w:p w:rsidR="00BB045E" w:rsidRDefault="00BB045E" w:rsidP="004121B6">
      <w:pPr>
        <w:pStyle w:val="Ruller41"/>
        <w:rPr>
          <w:rtl/>
        </w:rPr>
      </w:pPr>
      <w:r>
        <w:rPr>
          <w:rtl/>
        </w:rPr>
        <w:tab/>
      </w:r>
      <w:r>
        <w:rPr>
          <w:rFonts w:hint="cs"/>
          <w:rtl/>
        </w:rPr>
        <w:t xml:space="preserve">זאת ועוד. המקרה דנן הוא קיצוני הן בהתייחס לכמות ההתבטאויות החריגות של הרב יוסף, והן ביחס ל"איכותן". מדובר בהתבטאויות המבזות ציבורים שלמים </w:t>
      </w:r>
      <w:r w:rsidR="004121B6">
        <w:rPr>
          <w:rFonts w:hint="eastAsia"/>
          <w:rtl/>
        </w:rPr>
        <w:t>–</w:t>
      </w:r>
      <w:r>
        <w:rPr>
          <w:rFonts w:hint="cs"/>
          <w:rtl/>
        </w:rPr>
        <w:t xml:space="preserve"> לכאורה בשם ההלכה (ובכלל זה אזרחים לא יהודים, עולי חבר העמים וחברי הקהילה הרפורמית); התבטאויות החותרות תחת הקיום המשותף במדינת ישראל (ההתבטאות הנוגעת לעזיבה את הארץ אם יחויבו בני הישיבות לשרת בצבא ההגנה לישראל); והתבטאויות </w:t>
      </w:r>
      <w:r w:rsidR="004121B6">
        <w:rPr>
          <w:rFonts w:hint="cs"/>
          <w:rtl/>
        </w:rPr>
        <w:t>ה</w:t>
      </w:r>
      <w:r>
        <w:rPr>
          <w:rFonts w:hint="cs"/>
          <w:rtl/>
        </w:rPr>
        <w:t>חותרות תחת מוס</w:t>
      </w:r>
      <w:r w:rsidR="004121B6">
        <w:rPr>
          <w:rFonts w:hint="cs"/>
          <w:rtl/>
        </w:rPr>
        <w:t>דות השלטון (הדברים שנאמרו על יד</w:t>
      </w:r>
      <w:r>
        <w:rPr>
          <w:rFonts w:hint="cs"/>
          <w:rtl/>
        </w:rPr>
        <w:t xml:space="preserve">ו ביחס לבג"ץ). אף שכפי שאבהיר, אינני סבורה כי מדובר במקרה קצה המצדיק התערבות </w:t>
      </w:r>
      <w:r>
        <w:rPr>
          <w:rtl/>
        </w:rPr>
        <w:t>–</w:t>
      </w:r>
      <w:r>
        <w:rPr>
          <w:rFonts w:hint="cs"/>
          <w:rtl/>
        </w:rPr>
        <w:t xml:space="preserve"> ללא ספק מדובר במקרה המתקרב לכך. </w:t>
      </w:r>
    </w:p>
    <w:p w:rsidR="00BB045E" w:rsidRDefault="00BB045E" w:rsidP="00BB045E">
      <w:pPr>
        <w:pStyle w:val="Ruller41"/>
        <w:rPr>
          <w:rtl/>
        </w:rPr>
      </w:pPr>
    </w:p>
    <w:p w:rsidR="00BB045E" w:rsidRDefault="00BB045E" w:rsidP="00BB045E">
      <w:pPr>
        <w:pStyle w:val="Ruller41"/>
        <w:rPr>
          <w:rtl/>
        </w:rPr>
      </w:pPr>
      <w:r>
        <w:rPr>
          <w:rtl/>
        </w:rPr>
        <w:tab/>
      </w:r>
      <w:r>
        <w:rPr>
          <w:rFonts w:hint="cs"/>
          <w:rtl/>
        </w:rPr>
        <w:t xml:space="preserve">האם די אפוא במכלול האמור לעיל כדי להצדיק את קבלת העתירות, או למצער כדי להצדיק קביעה לפיה יש להשיב את נושא מתן הפרס לרב יוסף לוועדה לשקילה נוספת של הנושא וזאת תוך שהוועדה תביא בחשבון את כלל הנתונים? </w:t>
      </w:r>
    </w:p>
    <w:p w:rsidR="00BB045E" w:rsidRDefault="00BB045E" w:rsidP="00BB045E">
      <w:pPr>
        <w:pStyle w:val="Ruller41"/>
        <w:rPr>
          <w:rtl/>
        </w:rPr>
      </w:pPr>
    </w:p>
    <w:p w:rsidR="00BB045E" w:rsidRDefault="00BB045E" w:rsidP="004121B6">
      <w:pPr>
        <w:pStyle w:val="Ruller41"/>
        <w:rPr>
          <w:rtl/>
        </w:rPr>
      </w:pPr>
      <w:r>
        <w:rPr>
          <w:rtl/>
        </w:rPr>
        <w:tab/>
      </w:r>
      <w:r>
        <w:rPr>
          <w:rFonts w:hint="cs"/>
          <w:rtl/>
        </w:rPr>
        <w:t xml:space="preserve">התלבטתי רבות בשאלה זו. כפי שהבהרתי לעיל, אני סבורה כי המקרה דנן הוא מקרה גבולי משתי בחינות </w:t>
      </w:r>
      <w:r w:rsidR="004121B6">
        <w:rPr>
          <w:rFonts w:hint="eastAsia"/>
          <w:rtl/>
        </w:rPr>
        <w:t>–</w:t>
      </w:r>
      <w:r>
        <w:rPr>
          <w:rFonts w:hint="cs"/>
          <w:rtl/>
        </w:rPr>
        <w:t xml:space="preserve"> הן משום כך שההתבטאויות הבעייתיות והשנויות במחלוקת של הרב יוסף הן כאלה שאינן חיצוניות לחלוטין לתחום עיסוקו המקצועי</w:t>
      </w:r>
      <w:r w:rsidR="004121B6">
        <w:rPr>
          <w:rFonts w:hint="cs"/>
          <w:rtl/>
        </w:rPr>
        <w:t>,</w:t>
      </w:r>
      <w:r>
        <w:rPr>
          <w:rFonts w:hint="cs"/>
          <w:rtl/>
        </w:rPr>
        <w:t xml:space="preserve"> אף שאינן עומדות במרכז עיסוקו; והן לאור כמותן של ההתבטאויות הללו, טיבן והחומרה היתרה הנודעת להן, בעיקר על רקע התקופה הנוכחית. </w:t>
      </w:r>
    </w:p>
    <w:p w:rsidR="00BB045E" w:rsidRDefault="00BB045E" w:rsidP="00BB045E">
      <w:pPr>
        <w:pStyle w:val="Ruller41"/>
        <w:rPr>
          <w:rtl/>
        </w:rPr>
      </w:pPr>
    </w:p>
    <w:p w:rsidR="00BB045E" w:rsidRDefault="00BB045E" w:rsidP="004121B6">
      <w:pPr>
        <w:pStyle w:val="Ruller41"/>
        <w:rPr>
          <w:rtl/>
        </w:rPr>
      </w:pPr>
      <w:r>
        <w:rPr>
          <w:rtl/>
        </w:rPr>
        <w:tab/>
      </w:r>
      <w:r>
        <w:rPr>
          <w:rFonts w:hint="cs"/>
          <w:rtl/>
        </w:rPr>
        <w:t xml:space="preserve">לו הייתה דעתי נשאלת, הייתי סבורה כי מן הראוי היה לתת - למצער בשנה קשה וכואבת כזו - את הפרס הנוגע לספרות התורנית והמשפט העברי דווקא למי שאינו לוקה בהתבטאויות כאלה; מי שהעשייה שלו בתחומי ההלכה והמשפט העברי אינה כרוכה באמירות כה בעייתיות; מי שמשקף בצורה הולמת יותר את האופי הממלכתי של הפרס שהוא "אות ההערכה הגבוה ביותר שמעניקה מדינת ישראל לבניה ולבנותיה" (בג"ץ 2454/08 </w:t>
      </w:r>
      <w:r w:rsidRPr="00C632D5">
        <w:rPr>
          <w:rFonts w:ascii="Miriam" w:hAnsi="Miriam" w:cs="Miriam"/>
          <w:sz w:val="24"/>
          <w:szCs w:val="24"/>
          <w:rtl/>
        </w:rPr>
        <w:t>פורום משפטי למען ארץ ישראל נ' שרת החינוך</w:t>
      </w:r>
      <w:r>
        <w:rPr>
          <w:rFonts w:hint="cs"/>
          <w:rtl/>
        </w:rPr>
        <w:t xml:space="preserve"> (17.4.2008)). </w:t>
      </w:r>
    </w:p>
    <w:p w:rsidR="00BB045E" w:rsidRDefault="00BB045E" w:rsidP="00BB045E">
      <w:pPr>
        <w:pStyle w:val="Ruller41"/>
        <w:rPr>
          <w:rtl/>
        </w:rPr>
      </w:pPr>
    </w:p>
    <w:p w:rsidR="00BB045E" w:rsidRDefault="00BB045E" w:rsidP="00BB045E">
      <w:pPr>
        <w:pStyle w:val="Ruller41"/>
        <w:rPr>
          <w:rtl/>
        </w:rPr>
      </w:pPr>
      <w:r>
        <w:rPr>
          <w:rtl/>
        </w:rPr>
        <w:tab/>
      </w:r>
      <w:r>
        <w:rPr>
          <w:rFonts w:hint="cs"/>
          <w:rtl/>
        </w:rPr>
        <w:t xml:space="preserve">ואולם, וכפי שהובהר הבהר היטב בפסק דינו של חברי, עמדותיהם של חברי המותב ביחס לשאלה למי ראוי להעניק את הפרס, אינה השאלה בה עוסק בית המשפט. </w:t>
      </w:r>
      <w:r>
        <w:rPr>
          <w:rFonts w:hint="cs"/>
          <w:rtl/>
        </w:rPr>
        <w:lastRenderedPageBreak/>
        <w:t xml:space="preserve">בית המשפט אינו שם עצמו במקומה של הוועדה, ואינו שוקל במקומה את השיקולים שהיא אמורה לשקול ביחס לשאלה למי יוענק הפרס. הביקורת השיפוטית על החלטותיהם של הוועדה ושל השר היא צרה ביותר כאשר החלטות בהקשר זה הן כמעט חסינות מביקורת. זאת גם כאשר מקבל הפרס התבטא באופן צורם ובוטה ואשר מעליב ציבור שלם. אלה היו פני הדברים בעניין </w:t>
      </w:r>
      <w:r w:rsidRPr="00C4716D">
        <w:rPr>
          <w:rFonts w:ascii="Miriam" w:hAnsi="Miriam" w:cs="Miriam"/>
          <w:sz w:val="24"/>
          <w:szCs w:val="24"/>
          <w:rtl/>
        </w:rPr>
        <w:t>אריאל</w:t>
      </w:r>
      <w:r>
        <w:rPr>
          <w:rFonts w:hint="cs"/>
          <w:rtl/>
        </w:rPr>
        <w:t xml:space="preserve"> (בג"ץ 1977/20 </w:t>
      </w:r>
      <w:r w:rsidRPr="002D295D">
        <w:rPr>
          <w:rFonts w:ascii="Miriam" w:hAnsi="Miriam" w:cs="Miriam" w:hint="cs"/>
          <w:sz w:val="24"/>
          <w:szCs w:val="24"/>
          <w:rtl/>
        </w:rPr>
        <w:t xml:space="preserve">האגודה למען </w:t>
      </w:r>
      <w:proofErr w:type="spellStart"/>
      <w:r w:rsidRPr="002D295D">
        <w:rPr>
          <w:rFonts w:ascii="Miriam" w:hAnsi="Miriam" w:cs="Miriam" w:hint="cs"/>
          <w:sz w:val="24"/>
          <w:szCs w:val="24"/>
          <w:rtl/>
        </w:rPr>
        <w:t>הלהט"ב</w:t>
      </w:r>
      <w:proofErr w:type="spellEnd"/>
      <w:r w:rsidRPr="002D295D">
        <w:rPr>
          <w:rFonts w:ascii="Miriam" w:hAnsi="Miriam" w:cs="Miriam" w:hint="cs"/>
          <w:sz w:val="24"/>
          <w:szCs w:val="24"/>
          <w:rtl/>
        </w:rPr>
        <w:t xml:space="preserve"> בישראל ("האגודה לשמירת זכויות הפרט") נ' שר החינוך</w:t>
      </w:r>
      <w:r>
        <w:rPr>
          <w:rFonts w:hint="cs"/>
          <w:rtl/>
        </w:rPr>
        <w:t xml:space="preserve"> (26.4.2020)), שגם בו ועל רקע ההתבטאויות שם (שבית המשפט כינה אותן "צורמות, בוטות ועולבות בציבור שלם"), לא שלל בית המשפט ממקבל הפרס את הפרס שהוענק לו. </w:t>
      </w:r>
    </w:p>
    <w:p w:rsidR="00BB045E" w:rsidRDefault="00BB045E" w:rsidP="00BB045E">
      <w:pPr>
        <w:pStyle w:val="Ruller41"/>
        <w:rPr>
          <w:rtl/>
        </w:rPr>
      </w:pPr>
    </w:p>
    <w:p w:rsidR="00BB045E" w:rsidRDefault="00BB045E" w:rsidP="00BB045E">
      <w:pPr>
        <w:pStyle w:val="Ruller41"/>
        <w:rPr>
          <w:rtl/>
        </w:rPr>
      </w:pPr>
      <w:r>
        <w:rPr>
          <w:rtl/>
        </w:rPr>
        <w:tab/>
      </w:r>
      <w:r>
        <w:rPr>
          <w:rFonts w:hint="cs"/>
          <w:rtl/>
        </w:rPr>
        <w:t xml:space="preserve">לכן, לאור העובדה שהפרס הוענק לרב יוסף בשל קורפוס עשיר של ספרות תורנית הלכתית; לאור העובדה שעיקרו של הקורפוס הזה נוגע ל"ימי החול, לשבתות, לכל המועדים והצומות, הלכות הנוגעות לאירועי שמחה ולאירועי עצב, לכשרות המזון, לאישות ומשפחה, לתפילות </w:t>
      </w:r>
      <w:proofErr w:type="spellStart"/>
      <w:r>
        <w:rPr>
          <w:rFonts w:hint="cs"/>
          <w:rtl/>
        </w:rPr>
        <w:t>ולכהנים</w:t>
      </w:r>
      <w:proofErr w:type="spellEnd"/>
      <w:r>
        <w:rPr>
          <w:rFonts w:hint="cs"/>
          <w:rtl/>
        </w:rPr>
        <w:t xml:space="preserve"> ולנושאים הלכתיים אחרים", נושאים מקצועיים שאינם קשורים להתבטאויות הבעייתיות של הרב יוסף; ולאור ההלכה הפסוקה והפתח הצר מאוד שהיא הותירה להתערבות בהחלטות הנוגעות להענקת הפרס </w:t>
      </w:r>
      <w:r>
        <w:rPr>
          <w:rtl/>
        </w:rPr>
        <w:t>–</w:t>
      </w:r>
      <w:r>
        <w:rPr>
          <w:rFonts w:hint="cs"/>
          <w:rtl/>
        </w:rPr>
        <w:t xml:space="preserve"> מצאתי לנכון לצרף את עמדתי לזו של חברי השופט </w:t>
      </w:r>
      <w:r w:rsidRPr="00DB194D">
        <w:rPr>
          <w:rFonts w:ascii="Miriam" w:hAnsi="Miriam" w:cs="Miriam"/>
          <w:sz w:val="24"/>
          <w:szCs w:val="24"/>
          <w:rtl/>
        </w:rPr>
        <w:t>עמית</w:t>
      </w:r>
      <w:r>
        <w:rPr>
          <w:rFonts w:hint="cs"/>
          <w:rtl/>
        </w:rPr>
        <w:t>.</w:t>
      </w:r>
    </w:p>
    <w:p w:rsidR="00BB045E" w:rsidRPr="00BB045E" w:rsidRDefault="00BB045E" w:rsidP="00BB045E">
      <w:pPr>
        <w:pStyle w:val="Ruller41"/>
        <w:rPr>
          <w:rFonts w:ascii="Century" w:hAnsi="Century"/>
        </w:rPr>
      </w:pPr>
    </w:p>
    <w:p w:rsidR="007C3DF4" w:rsidRPr="00BB045E" w:rsidRDefault="007C3DF4" w:rsidP="00BB045E">
      <w:pPr>
        <w:pStyle w:val="Ruller41"/>
        <w:rPr>
          <w:rFonts w:ascii="Century" w:hAnsi="Century"/>
          <w:rtl/>
        </w:rPr>
      </w:pPr>
      <w:r w:rsidRPr="00BB045E">
        <w:rPr>
          <w:rFonts w:ascii="Century" w:hAnsi="Century" w:hint="cs"/>
          <w:rtl/>
        </w:rPr>
        <w:t xml:space="preserve">  </w:t>
      </w:r>
    </w:p>
    <w:tbl>
      <w:tblPr>
        <w:bidiVisual/>
        <w:tblW w:w="0" w:type="auto"/>
        <w:tblLook w:val="01E0" w:firstRow="1" w:lastRow="1" w:firstColumn="1" w:lastColumn="1" w:noHBand="0" w:noVBand="0"/>
      </w:tblPr>
      <w:tblGrid>
        <w:gridCol w:w="2769"/>
        <w:gridCol w:w="2769"/>
        <w:gridCol w:w="2774"/>
      </w:tblGrid>
      <w:tr w:rsidR="007C3DF4" w:rsidRPr="004776CB" w:rsidTr="007104F8">
        <w:tc>
          <w:tcPr>
            <w:tcW w:w="2842" w:type="dxa"/>
            <w:shd w:val="clear" w:color="auto" w:fill="auto"/>
          </w:tcPr>
          <w:p w:rsidR="007C3DF4" w:rsidRPr="004776CB" w:rsidRDefault="007C3DF4" w:rsidP="007104F8">
            <w:pPr>
              <w:pStyle w:val="Ruller41"/>
              <w:rPr>
                <w:rtl/>
              </w:rPr>
            </w:pPr>
          </w:p>
        </w:tc>
        <w:tc>
          <w:tcPr>
            <w:tcW w:w="2843" w:type="dxa"/>
            <w:shd w:val="clear" w:color="auto" w:fill="auto"/>
          </w:tcPr>
          <w:p w:rsidR="007C3DF4" w:rsidRPr="004776CB" w:rsidRDefault="007C3DF4" w:rsidP="007104F8">
            <w:pPr>
              <w:pStyle w:val="Ruller41"/>
              <w:rPr>
                <w:rtl/>
              </w:rPr>
            </w:pPr>
          </w:p>
        </w:tc>
        <w:tc>
          <w:tcPr>
            <w:tcW w:w="2843" w:type="dxa"/>
            <w:shd w:val="clear" w:color="auto" w:fill="auto"/>
          </w:tcPr>
          <w:p w:rsidR="007C3DF4" w:rsidRPr="004776CB" w:rsidRDefault="007C3DF4" w:rsidP="00BB045E">
            <w:pPr>
              <w:pStyle w:val="Ruller41"/>
              <w:jc w:val="center"/>
              <w:rPr>
                <w:rtl/>
              </w:rPr>
            </w:pPr>
            <w:r w:rsidRPr="004776CB">
              <w:rPr>
                <w:rtl/>
              </w:rPr>
              <w:t>ש ו פ ט</w:t>
            </w:r>
            <w:r w:rsidRPr="004776CB">
              <w:rPr>
                <w:rFonts w:hint="cs"/>
                <w:rtl/>
              </w:rPr>
              <w:t xml:space="preserve"> ת</w:t>
            </w:r>
          </w:p>
        </w:tc>
      </w:tr>
    </w:tbl>
    <w:p w:rsidR="007C3DF4" w:rsidRPr="00C71CAD" w:rsidRDefault="007C3DF4" w:rsidP="00C71CAD">
      <w:pPr>
        <w:pStyle w:val="Ruller41"/>
        <w:rPr>
          <w:rFonts w:ascii="Century" w:hAnsi="Century"/>
          <w:rtl/>
        </w:rPr>
      </w:pPr>
    </w:p>
    <w:p w:rsidR="006042C9" w:rsidRPr="00C71CAD" w:rsidRDefault="006042C9" w:rsidP="00C71CAD">
      <w:pPr>
        <w:pStyle w:val="Ruller41"/>
        <w:rPr>
          <w:rFonts w:ascii="Century" w:hAnsi="Century"/>
          <w:rtl/>
        </w:rPr>
      </w:pPr>
    </w:p>
    <w:p w:rsidR="006042C9" w:rsidRDefault="006042C9" w:rsidP="006042C9">
      <w:pPr>
        <w:tabs>
          <w:tab w:val="left" w:pos="800"/>
        </w:tabs>
        <w:jc w:val="both"/>
        <w:rPr>
          <w:rFonts w:cs="Miriam"/>
          <w:rtl/>
        </w:rPr>
      </w:pPr>
      <w:r w:rsidRPr="004776CB">
        <w:rPr>
          <w:rFonts w:cs="Miriam" w:hint="cs"/>
          <w:u w:val="single"/>
          <w:rtl/>
        </w:rPr>
        <w:t xml:space="preserve">השופט </w:t>
      </w:r>
      <w:r w:rsidRPr="007C3DF4">
        <w:rPr>
          <w:rFonts w:cs="Miriam" w:hint="cs"/>
          <w:u w:val="single"/>
          <w:rtl/>
        </w:rPr>
        <w:t>ח' כבוב</w:t>
      </w:r>
      <w:r w:rsidRPr="004776CB">
        <w:rPr>
          <w:rFonts w:cs="Miriam" w:hint="cs"/>
          <w:rtl/>
        </w:rPr>
        <w:t>:</w:t>
      </w:r>
    </w:p>
    <w:p w:rsidR="00C71CAD" w:rsidRDefault="00C71CAD" w:rsidP="006042C9">
      <w:pPr>
        <w:tabs>
          <w:tab w:val="left" w:pos="800"/>
        </w:tabs>
        <w:jc w:val="both"/>
        <w:rPr>
          <w:rFonts w:cs="Miriam"/>
          <w:rtl/>
        </w:rPr>
      </w:pPr>
    </w:p>
    <w:p w:rsidR="006042C9" w:rsidRDefault="006042C9" w:rsidP="006042C9">
      <w:pPr>
        <w:pStyle w:val="Ruller4"/>
        <w:spacing w:before="240" w:after="240"/>
        <w:rPr>
          <w:rtl/>
        </w:rPr>
      </w:pPr>
      <w:r>
        <w:rPr>
          <w:rtl/>
        </w:rPr>
        <w:tab/>
      </w:r>
      <w:r>
        <w:rPr>
          <w:rFonts w:hint="cs"/>
          <w:rtl/>
        </w:rPr>
        <w:t xml:space="preserve">כמו חברי וחברתי, גם לשיטתי, דין העתירות להידחות. אולם, בשונה מחבריי אני סבור כי מקרה זה מחייבנו להסיר את הלוט ולומר בקול ברור: אין עוד מקום להגשת עתירות התוקפות את החלטת שר החינוך להעניק את פרס ישראל למועמד כלשהו, יהיו התבטאויותיו </w:t>
      </w:r>
      <w:r w:rsidRPr="003D3A22">
        <w:rPr>
          <w:rFonts w:ascii="Century" w:hAnsi="Century" w:cs="Miriam" w:hint="cs"/>
          <w:b/>
          <w:spacing w:val="0"/>
          <w:sz w:val="22"/>
          <w:szCs w:val="24"/>
          <w:rtl/>
        </w:rPr>
        <w:t>הערכיות</w:t>
      </w:r>
      <w:r w:rsidRPr="003D3A22">
        <w:rPr>
          <w:rFonts w:hint="cs"/>
          <w:rtl/>
        </w:rPr>
        <w:t xml:space="preserve"> </w:t>
      </w:r>
      <w:r>
        <w:rPr>
          <w:rFonts w:hint="cs"/>
          <w:rtl/>
        </w:rPr>
        <w:t>מכוערות ומבזות ככל שיהיו. ואסביר.</w:t>
      </w:r>
    </w:p>
    <w:p w:rsidR="006042C9" w:rsidRDefault="006042C9" w:rsidP="006042C9">
      <w:pPr>
        <w:pStyle w:val="Ruller4"/>
        <w:spacing w:before="240" w:after="240"/>
        <w:rPr>
          <w:rtl/>
        </w:rPr>
      </w:pPr>
      <w:r>
        <w:rPr>
          <w:rtl/>
        </w:rPr>
        <w:tab/>
      </w:r>
      <w:r>
        <w:rPr>
          <w:rFonts w:hint="cs"/>
          <w:rtl/>
        </w:rPr>
        <w:t>ב</w:t>
      </w:r>
      <w:r w:rsidRPr="003D3A22">
        <w:rPr>
          <w:rtl/>
        </w:rPr>
        <w:t>בג</w:t>
      </w:r>
      <w:r>
        <w:rPr>
          <w:rFonts w:hint="cs"/>
          <w:rtl/>
        </w:rPr>
        <w:t>"</w:t>
      </w:r>
      <w:r w:rsidRPr="003D3A22">
        <w:rPr>
          <w:rtl/>
        </w:rPr>
        <w:t xml:space="preserve">ץ 2454/08 </w:t>
      </w:r>
      <w:r w:rsidRPr="003D3A22">
        <w:rPr>
          <w:rFonts w:ascii="Century" w:hAnsi="Century" w:cs="Miriam"/>
          <w:b/>
          <w:spacing w:val="0"/>
          <w:sz w:val="22"/>
          <w:szCs w:val="24"/>
          <w:rtl/>
        </w:rPr>
        <w:t>פורום משפטי למען ארץ ישראל נ' פרופ' יולי תמיר - שרת החינוך</w:t>
      </w:r>
      <w:r>
        <w:rPr>
          <w:rFonts w:hint="cs"/>
          <w:rtl/>
        </w:rPr>
        <w:t xml:space="preserve">, (17.04.2008) (להלן: </w:t>
      </w:r>
      <w:r w:rsidRPr="00670B96">
        <w:rPr>
          <w:rFonts w:ascii="Century" w:hAnsi="Century" w:cs="Miriam" w:hint="cs"/>
          <w:b/>
          <w:spacing w:val="0"/>
          <w:sz w:val="22"/>
          <w:szCs w:val="24"/>
          <w:rtl/>
        </w:rPr>
        <w:t xml:space="preserve">עניין </w:t>
      </w:r>
      <w:proofErr w:type="spellStart"/>
      <w:r w:rsidRPr="00670B96">
        <w:rPr>
          <w:rFonts w:ascii="Century" w:hAnsi="Century" w:cs="Miriam"/>
          <w:b/>
          <w:spacing w:val="0"/>
          <w:sz w:val="22"/>
          <w:szCs w:val="24"/>
          <w:rtl/>
        </w:rPr>
        <w:t>שטרנהל</w:t>
      </w:r>
      <w:proofErr w:type="spellEnd"/>
      <w:r>
        <w:rPr>
          <w:rFonts w:hint="cs"/>
          <w:rtl/>
        </w:rPr>
        <w:t xml:space="preserve">), קבעה השופטת </w:t>
      </w:r>
      <w:r w:rsidRPr="003D3A22">
        <w:rPr>
          <w:rFonts w:ascii="Century" w:hAnsi="Century" w:cs="Miriam" w:hint="cs"/>
          <w:b/>
          <w:spacing w:val="0"/>
          <w:sz w:val="22"/>
          <w:szCs w:val="24"/>
          <w:rtl/>
        </w:rPr>
        <w:t>ע' ארבל</w:t>
      </w:r>
      <w:r w:rsidRPr="003D3A22">
        <w:rPr>
          <w:rFonts w:hint="cs"/>
          <w:rtl/>
        </w:rPr>
        <w:t xml:space="preserve"> </w:t>
      </w:r>
      <w:r>
        <w:rPr>
          <w:rFonts w:hint="cs"/>
          <w:rtl/>
        </w:rPr>
        <w:t xml:space="preserve">כדברים הללו: </w:t>
      </w:r>
    </w:p>
    <w:p w:rsidR="006042C9" w:rsidRDefault="006042C9" w:rsidP="006042C9">
      <w:pPr>
        <w:pStyle w:val="Ruller5"/>
        <w:spacing w:before="240" w:after="240"/>
        <w:rPr>
          <w:rtl/>
        </w:rPr>
      </w:pPr>
      <w:r>
        <w:rPr>
          <w:rFonts w:hint="cs"/>
          <w:rtl/>
        </w:rPr>
        <w:t>"</w:t>
      </w:r>
      <w:r>
        <w:rPr>
          <w:rtl/>
        </w:rPr>
        <w:t xml:space="preserve">בהחלט ייתכנו מקרים בהם לא ניתן יהא לשקול שיקולים שאינם מקצועיים גרידא אלא נוגעים בדמותו של המועמד ובמשמעויות הערכיות והחברתיות של הבחירה בו. כך למשל, מועמד המזוהה עם ערכים המנוגדים באופן ממשי לערכיה של מדינת ישראל, דוגמת מי שידוע כאוחז </w:t>
      </w:r>
      <w:r>
        <w:rPr>
          <w:rtl/>
        </w:rPr>
        <w:lastRenderedPageBreak/>
        <w:t>בעמדות גזעניות, או מקרים קיצוניים מעין זה</w:t>
      </w:r>
      <w:r>
        <w:rPr>
          <w:rFonts w:hint="cs"/>
          <w:rtl/>
        </w:rPr>
        <w:t xml:space="preserve"> [...] </w:t>
      </w:r>
      <w:r>
        <w:rPr>
          <w:rFonts w:ascii="FrankRuehl" w:hAnsi="FrankRuehl"/>
          <w:color w:val="000000"/>
          <w:sz w:val="28"/>
          <w:rtl/>
        </w:rPr>
        <w:t xml:space="preserve">כידוע, גם רף הסיבולת הגבוה ביותר שנטל על עצמו הציבור במדינה דמוקרטית באשר לחופש הביטוי אין משמעו כי הנייר והאוזן סובלים </w:t>
      </w:r>
      <w:proofErr w:type="spellStart"/>
      <w:r>
        <w:rPr>
          <w:rFonts w:ascii="FrankRuehl" w:hAnsi="FrankRuehl"/>
          <w:color w:val="000000"/>
          <w:sz w:val="28"/>
          <w:rtl/>
        </w:rPr>
        <w:t>הכל</w:t>
      </w:r>
      <w:proofErr w:type="spellEnd"/>
      <w:r>
        <w:rPr>
          <w:rFonts w:ascii="FrankRuehl" w:hAnsi="FrankRuehl"/>
          <w:color w:val="000000"/>
          <w:sz w:val="28"/>
          <w:rtl/>
        </w:rPr>
        <w:t xml:space="preserve"> </w:t>
      </w:r>
      <w:r w:rsidRPr="00DF58A5">
        <w:rPr>
          <w:rFonts w:ascii="Century" w:hAnsi="Century" w:cs="Miriam"/>
          <w:b/>
          <w:spacing w:val="0"/>
          <w:szCs w:val="24"/>
          <w:rtl/>
        </w:rPr>
        <w:t>ותיתכנה התבטאויות שיש בהן השפלה או ביזוי כה קשים בכבודו של אדם או של ציבור. במצב מעין זה דומני כי לא יהא זה סביר להעניק לאותו אדם את אות ההערכה הגבוה ביותר שמעניקה מדינת ישראל לבניה ובנותיה</w:t>
      </w:r>
      <w:r>
        <w:rPr>
          <w:rFonts w:hint="cs"/>
          <w:rtl/>
        </w:rPr>
        <w:t>" (שם, בפסקה 10</w:t>
      </w:r>
      <w:r>
        <w:rPr>
          <w:rFonts w:ascii="Century" w:hAnsi="Century" w:hint="cs"/>
          <w:rtl/>
        </w:rPr>
        <w:t xml:space="preserve"> לחוות דעתה; ההדגשה נוספה </w:t>
      </w:r>
      <w:r>
        <w:rPr>
          <w:rFonts w:ascii="Century" w:hAnsi="Century"/>
          <w:rtl/>
        </w:rPr>
        <w:t>–</w:t>
      </w:r>
      <w:r>
        <w:rPr>
          <w:rFonts w:ascii="Century" w:hAnsi="Century" w:hint="cs"/>
          <w:rtl/>
        </w:rPr>
        <w:t xml:space="preserve"> ח' כ'</w:t>
      </w:r>
      <w:r w:rsidRPr="003D3A22">
        <w:rPr>
          <w:rFonts w:ascii="Century" w:hAnsi="Century" w:hint="cs"/>
          <w:rtl/>
        </w:rPr>
        <w:t>)</w:t>
      </w:r>
      <w:r>
        <w:rPr>
          <w:rFonts w:ascii="Century" w:hAnsi="Century" w:hint="cs"/>
          <w:rtl/>
        </w:rPr>
        <w:t>.</w:t>
      </w:r>
    </w:p>
    <w:p w:rsidR="006042C9" w:rsidRDefault="006042C9" w:rsidP="006042C9">
      <w:pPr>
        <w:pStyle w:val="Ruller4"/>
        <w:spacing w:before="240" w:after="240"/>
        <w:rPr>
          <w:rtl/>
        </w:rPr>
      </w:pPr>
      <w:r>
        <w:rPr>
          <w:rtl/>
        </w:rPr>
        <w:tab/>
      </w:r>
      <w:r w:rsidRPr="003D3A22">
        <w:rPr>
          <w:rFonts w:hint="cs"/>
          <w:rtl/>
        </w:rPr>
        <w:t>ב</w:t>
      </w:r>
      <w:r w:rsidRPr="003D3A22">
        <w:rPr>
          <w:rFonts w:ascii="Century" w:hAnsi="Century"/>
          <w:sz w:val="22"/>
          <w:rtl/>
        </w:rPr>
        <w:t>בג</w:t>
      </w:r>
      <w:r w:rsidRPr="003D3A22">
        <w:rPr>
          <w:rFonts w:ascii="Century" w:hAnsi="Century" w:hint="cs"/>
          <w:sz w:val="22"/>
          <w:rtl/>
        </w:rPr>
        <w:t>"</w:t>
      </w:r>
      <w:r w:rsidRPr="003D3A22">
        <w:rPr>
          <w:rFonts w:ascii="Century" w:hAnsi="Century"/>
          <w:sz w:val="22"/>
          <w:rtl/>
        </w:rPr>
        <w:t xml:space="preserve">ץ 2199/21 </w:t>
      </w:r>
      <w:r w:rsidRPr="003D3A22">
        <w:rPr>
          <w:rFonts w:ascii="Century" w:hAnsi="Century" w:cs="Miriam"/>
          <w:b/>
          <w:spacing w:val="0"/>
          <w:sz w:val="22"/>
          <w:szCs w:val="24"/>
          <w:rtl/>
        </w:rPr>
        <w:t>ועדת השופטים להענקת פרס ישראל לשנת תשפ"א בתחום חקר המתמטיקה, חדר מדעי המחשב נ' שר החינוך</w:t>
      </w:r>
      <w:r w:rsidRPr="003D3A22">
        <w:rPr>
          <w:rFonts w:ascii="Century" w:hAnsi="Century" w:hint="cs"/>
          <w:sz w:val="22"/>
          <w:rtl/>
        </w:rPr>
        <w:t xml:space="preserve"> </w:t>
      </w:r>
      <w:r w:rsidRPr="003D3A22">
        <w:rPr>
          <w:rFonts w:ascii="Arial TUR" w:hAnsi="Arial TUR"/>
          <w:sz w:val="22"/>
          <w:rtl/>
        </w:rPr>
        <w:t>(‏</w:t>
      </w:r>
      <w:r>
        <w:rPr>
          <w:rFonts w:hint="cs"/>
          <w:rtl/>
        </w:rPr>
        <w:t>12</w:t>
      </w:r>
      <w:r w:rsidRPr="003D3A22">
        <w:rPr>
          <w:rFonts w:ascii="Arial TUR" w:hAnsi="Arial TUR" w:hint="cs"/>
          <w:sz w:val="22"/>
          <w:rtl/>
        </w:rPr>
        <w:t>.</w:t>
      </w:r>
      <w:r>
        <w:rPr>
          <w:rFonts w:hint="cs"/>
          <w:rtl/>
        </w:rPr>
        <w:t>08</w:t>
      </w:r>
      <w:r w:rsidRPr="003D3A22">
        <w:rPr>
          <w:rFonts w:ascii="Arial TUR" w:hAnsi="Arial TUR" w:hint="cs"/>
          <w:sz w:val="22"/>
          <w:rtl/>
        </w:rPr>
        <w:t>.2021</w:t>
      </w:r>
      <w:r w:rsidRPr="003D3A22">
        <w:rPr>
          <w:rFonts w:ascii="Arial TUR" w:hAnsi="Arial TUR"/>
          <w:sz w:val="22"/>
          <w:rtl/>
        </w:rPr>
        <w:t>)</w:t>
      </w:r>
      <w:r w:rsidRPr="003D3A22">
        <w:rPr>
          <w:rFonts w:ascii="Arial TUR" w:hAnsi="Arial TUR" w:hint="cs"/>
          <w:sz w:val="22"/>
          <w:rtl/>
        </w:rPr>
        <w:t xml:space="preserve"> </w:t>
      </w:r>
      <w:r>
        <w:rPr>
          <w:rFonts w:hint="cs"/>
          <w:rtl/>
        </w:rPr>
        <w:t xml:space="preserve">(להלן: </w:t>
      </w:r>
      <w:r w:rsidRPr="003D3A22">
        <w:rPr>
          <w:rFonts w:ascii="Century" w:hAnsi="Century" w:cs="Miriam" w:hint="cs"/>
          <w:b/>
          <w:spacing w:val="0"/>
          <w:sz w:val="22"/>
          <w:szCs w:val="24"/>
          <w:rtl/>
        </w:rPr>
        <w:t xml:space="preserve">עניין </w:t>
      </w:r>
      <w:proofErr w:type="spellStart"/>
      <w:r w:rsidRPr="003D3A22">
        <w:rPr>
          <w:rFonts w:ascii="Century" w:hAnsi="Century" w:cs="Miriam" w:hint="cs"/>
          <w:b/>
          <w:spacing w:val="0"/>
          <w:sz w:val="22"/>
          <w:szCs w:val="24"/>
          <w:rtl/>
        </w:rPr>
        <w:t>גולדרייך</w:t>
      </w:r>
      <w:proofErr w:type="spellEnd"/>
      <w:r w:rsidRPr="003D3A22">
        <w:rPr>
          <w:rFonts w:ascii="Century" w:hAnsi="Century" w:cs="Miriam" w:hint="cs"/>
          <w:b/>
          <w:spacing w:val="0"/>
          <w:sz w:val="22"/>
          <w:szCs w:val="24"/>
          <w:rtl/>
        </w:rPr>
        <w:t xml:space="preserve"> הראשון</w:t>
      </w:r>
      <w:r>
        <w:rPr>
          <w:rFonts w:hint="cs"/>
          <w:rtl/>
        </w:rPr>
        <w:t xml:space="preserve">), הוסיף השופט </w:t>
      </w:r>
      <w:r w:rsidRPr="003D3A22">
        <w:rPr>
          <w:rFonts w:ascii="Century" w:hAnsi="Century" w:cs="Miriam" w:hint="cs"/>
          <w:b/>
          <w:spacing w:val="0"/>
          <w:sz w:val="22"/>
          <w:szCs w:val="24"/>
          <w:rtl/>
        </w:rPr>
        <w:t>נ' סולברג</w:t>
      </w:r>
      <w:r>
        <w:rPr>
          <w:rFonts w:hint="cs"/>
          <w:rtl/>
        </w:rPr>
        <w:t xml:space="preserve"> ופירט כדלהלן:</w:t>
      </w:r>
    </w:p>
    <w:p w:rsidR="006042C9" w:rsidRDefault="006042C9" w:rsidP="006042C9">
      <w:pPr>
        <w:pStyle w:val="Ruller5"/>
        <w:spacing w:before="240" w:after="240"/>
        <w:rPr>
          <w:rtl/>
        </w:rPr>
      </w:pPr>
      <w:r>
        <w:rPr>
          <w:rFonts w:hint="cs"/>
          <w:rtl/>
        </w:rPr>
        <w:t>"</w:t>
      </w:r>
      <w:r w:rsidRPr="003D3A22">
        <w:rPr>
          <w:rtl/>
        </w:rPr>
        <w:t xml:space="preserve">ועדת הפרס, כמוה גם שר החינוך, רשאים לשקול, במקרים החריגים המתאימים, גם שיקולים 'חיצוניים' שאינם נוגעים למידת המצוינות של מקבל הפרס. כך למשל, </w:t>
      </w:r>
      <w:r w:rsidRPr="00DF58A5">
        <w:rPr>
          <w:rFonts w:ascii="Century" w:hAnsi="Century" w:cs="Miriam"/>
          <w:b/>
          <w:spacing w:val="0"/>
          <w:szCs w:val="24"/>
          <w:rtl/>
        </w:rPr>
        <w:t>אם נמצא כי המועמד עשה שימוש בביטויים גזעניים קשים כלפי אדם או ציבור מסוים, אם נקט ביזוי קשה כלפי אלה</w:t>
      </w:r>
      <w:r w:rsidRPr="003D3A22">
        <w:rPr>
          <w:rtl/>
        </w:rPr>
        <w:t>, או אם שלל את קיומה של מדינת ישראל כמדינה יהודית ודמוקרטית, הסית לגזענות ולאלימות, או תמך במאבק מזוין נגד המדינה</w:t>
      </w:r>
      <w:r>
        <w:rPr>
          <w:rFonts w:hint="cs"/>
          <w:rtl/>
        </w:rPr>
        <w:t xml:space="preserve"> [...]" (שם, בפסקה 4 לחוות דעתו; ההדגשה נוספה </w:t>
      </w:r>
      <w:r>
        <w:rPr>
          <w:rtl/>
        </w:rPr>
        <w:t>–</w:t>
      </w:r>
      <w:r>
        <w:rPr>
          <w:rFonts w:hint="cs"/>
          <w:rtl/>
        </w:rPr>
        <w:t xml:space="preserve"> ח' כ').</w:t>
      </w:r>
    </w:p>
    <w:p w:rsidR="006042C9" w:rsidRDefault="006042C9" w:rsidP="006042C9">
      <w:pPr>
        <w:pStyle w:val="Ruller41"/>
        <w:spacing w:before="240" w:after="240"/>
        <w:rPr>
          <w:rtl/>
        </w:rPr>
      </w:pPr>
      <w:r>
        <w:rPr>
          <w:rtl/>
        </w:rPr>
        <w:tab/>
      </w:r>
      <w:r>
        <w:rPr>
          <w:rFonts w:hint="cs"/>
          <w:rtl/>
        </w:rPr>
        <w:t>העותרות טוענות כי בשים לב לאמות המידה שנקבעו בפסיקה שלעיל, עלינו להתערב בהחלטת שר החינוך לאשר את המלצת ועדת הפרס ולהעניק לרב יצחק יוסף את פרס ישראל בתחום ספרות ומשפט עברי.</w:t>
      </w:r>
    </w:p>
    <w:p w:rsidR="006042C9" w:rsidRDefault="006042C9" w:rsidP="006042C9">
      <w:pPr>
        <w:pStyle w:val="Ruller41"/>
        <w:spacing w:before="240" w:after="240"/>
        <w:rPr>
          <w:rtl/>
        </w:rPr>
      </w:pPr>
      <w:r>
        <w:rPr>
          <w:rtl/>
        </w:rPr>
        <w:tab/>
      </w:r>
      <w:r>
        <w:rPr>
          <w:rFonts w:hint="cs"/>
          <w:rtl/>
        </w:rPr>
        <w:t xml:space="preserve">אכן, הרב יוסף התבטא באופן מבזה ומשפיל כלפי ציבורים רבים במדינת ישראל, ובהם </w:t>
      </w:r>
      <w:r>
        <w:rPr>
          <w:rtl/>
        </w:rPr>
        <w:t>–</w:t>
      </w:r>
      <w:r>
        <w:rPr>
          <w:rFonts w:hint="cs"/>
          <w:rtl/>
        </w:rPr>
        <w:t xml:space="preserve"> עולי חבר העמים; בני הקהילה הרפורמית והקונסרבטיבית; המיעוט הלא-יהודי; וכן כלפי פסיקת בית המשפט העליון והנחיות היועץ המשפטי לממשלה, בין היתר, ביחס לזכויות נשים. קשה למצוא ציבורים במדינה </w:t>
      </w:r>
      <w:r w:rsidRPr="003D3A22">
        <w:rPr>
          <w:rFonts w:ascii="Century" w:hAnsi="Century" w:cs="Miriam" w:hint="cs"/>
          <w:b/>
          <w:spacing w:val="0"/>
          <w:szCs w:val="24"/>
          <w:rtl/>
        </w:rPr>
        <w:t>שלא</w:t>
      </w:r>
      <w:r w:rsidRPr="003D3A22">
        <w:rPr>
          <w:rFonts w:hint="cs"/>
          <w:rtl/>
        </w:rPr>
        <w:t xml:space="preserve"> </w:t>
      </w:r>
      <w:r>
        <w:rPr>
          <w:rFonts w:hint="cs"/>
          <w:rtl/>
        </w:rPr>
        <w:t>'זכו' לקיתונות של בוז ועלבון תחת שבט לשונו של הרב.</w:t>
      </w:r>
    </w:p>
    <w:p w:rsidR="006042C9" w:rsidRDefault="006042C9" w:rsidP="006042C9">
      <w:pPr>
        <w:pStyle w:val="Ruller41"/>
        <w:spacing w:before="240" w:after="240"/>
        <w:rPr>
          <w:rtl/>
        </w:rPr>
      </w:pPr>
      <w:r>
        <w:rPr>
          <w:rtl/>
        </w:rPr>
        <w:tab/>
      </w:r>
      <w:r>
        <w:rPr>
          <w:rFonts w:hint="cs"/>
          <w:rtl/>
        </w:rPr>
        <w:t xml:space="preserve">ברם, כפי שציינה השופטת </w:t>
      </w:r>
      <w:r w:rsidRPr="003D3A22">
        <w:rPr>
          <w:rFonts w:ascii="Century" w:hAnsi="Century" w:cs="Miriam" w:hint="cs"/>
          <w:b/>
          <w:spacing w:val="0"/>
          <w:szCs w:val="24"/>
          <w:rtl/>
        </w:rPr>
        <w:t>י' וילנר</w:t>
      </w:r>
      <w:r w:rsidRPr="003D3A22">
        <w:rPr>
          <w:rFonts w:hint="cs"/>
          <w:rtl/>
        </w:rPr>
        <w:t xml:space="preserve"> </w:t>
      </w:r>
      <w:r>
        <w:rPr>
          <w:rFonts w:hint="cs"/>
          <w:rtl/>
        </w:rPr>
        <w:t>באחת מן הפרשות, ובצדק, "</w:t>
      </w:r>
      <w:r w:rsidRPr="003D3A22">
        <w:rPr>
          <w:rFonts w:ascii="Century" w:hAnsi="Century" w:cs="Miriam" w:hint="eastAsia"/>
          <w:b/>
          <w:spacing w:val="0"/>
          <w:szCs w:val="24"/>
          <w:rtl/>
        </w:rPr>
        <w:t>לאורך</w:t>
      </w:r>
      <w:r w:rsidRPr="003D3A22">
        <w:rPr>
          <w:rFonts w:ascii="Century" w:hAnsi="Century" w:cs="Miriam"/>
          <w:b/>
          <w:spacing w:val="0"/>
          <w:szCs w:val="24"/>
          <w:rtl/>
        </w:rPr>
        <w:t xml:space="preserve"> </w:t>
      </w:r>
      <w:r w:rsidRPr="003D3A22">
        <w:rPr>
          <w:rFonts w:ascii="Century" w:hAnsi="Century" w:cs="Miriam" w:hint="eastAsia"/>
          <w:b/>
          <w:spacing w:val="0"/>
          <w:szCs w:val="24"/>
          <w:rtl/>
        </w:rPr>
        <w:t>השנים</w:t>
      </w:r>
      <w:r w:rsidRPr="003D3A22">
        <w:rPr>
          <w:rFonts w:ascii="Century" w:hAnsi="Century" w:cs="Miriam"/>
          <w:b/>
          <w:spacing w:val="0"/>
          <w:szCs w:val="24"/>
          <w:rtl/>
        </w:rPr>
        <w:t xml:space="preserve"> </w:t>
      </w:r>
      <w:r w:rsidRPr="003D3A22">
        <w:rPr>
          <w:rFonts w:ascii="Century" w:hAnsi="Century" w:cs="Miriam" w:hint="eastAsia"/>
          <w:b/>
          <w:spacing w:val="0"/>
          <w:szCs w:val="24"/>
          <w:rtl/>
        </w:rPr>
        <w:t>פרס</w:t>
      </w:r>
      <w:r w:rsidRPr="003D3A22">
        <w:rPr>
          <w:rFonts w:ascii="Century" w:hAnsi="Century" w:cs="Miriam"/>
          <w:b/>
          <w:spacing w:val="0"/>
          <w:szCs w:val="24"/>
          <w:rtl/>
        </w:rPr>
        <w:t xml:space="preserve"> </w:t>
      </w:r>
      <w:r w:rsidRPr="003D3A22">
        <w:rPr>
          <w:rFonts w:ascii="Century" w:hAnsi="Century" w:cs="Miriam" w:hint="eastAsia"/>
          <w:b/>
          <w:spacing w:val="0"/>
          <w:szCs w:val="24"/>
          <w:rtl/>
        </w:rPr>
        <w:t>ישראל</w:t>
      </w:r>
      <w:r w:rsidRPr="003D3A22">
        <w:rPr>
          <w:rFonts w:ascii="Century" w:hAnsi="Century" w:cs="Miriam"/>
          <w:b/>
          <w:spacing w:val="0"/>
          <w:szCs w:val="24"/>
          <w:rtl/>
        </w:rPr>
        <w:t xml:space="preserve"> </w:t>
      </w:r>
      <w:r w:rsidRPr="003D3A22">
        <w:rPr>
          <w:rFonts w:ascii="Century" w:hAnsi="Century" w:cs="Miriam" w:hint="eastAsia"/>
          <w:b/>
          <w:spacing w:val="0"/>
          <w:szCs w:val="24"/>
          <w:rtl/>
        </w:rPr>
        <w:t>ניתן</w:t>
      </w:r>
      <w:r w:rsidRPr="003D3A22">
        <w:rPr>
          <w:rFonts w:ascii="Century" w:hAnsi="Century" w:cs="Miriam"/>
          <w:b/>
          <w:spacing w:val="0"/>
          <w:szCs w:val="24"/>
          <w:rtl/>
        </w:rPr>
        <w:t xml:space="preserve"> </w:t>
      </w:r>
      <w:r w:rsidRPr="003D3A22">
        <w:rPr>
          <w:rFonts w:ascii="Century" w:hAnsi="Century" w:cs="Miriam" w:hint="eastAsia"/>
          <w:b/>
          <w:spacing w:val="0"/>
          <w:szCs w:val="24"/>
          <w:rtl/>
        </w:rPr>
        <w:t>לאנשים</w:t>
      </w:r>
      <w:r w:rsidRPr="003D3A22">
        <w:rPr>
          <w:rFonts w:ascii="Century" w:hAnsi="Century" w:cs="Miriam"/>
          <w:b/>
          <w:spacing w:val="0"/>
          <w:szCs w:val="24"/>
          <w:rtl/>
        </w:rPr>
        <w:t xml:space="preserve"> </w:t>
      </w:r>
      <w:r w:rsidRPr="003D3A22">
        <w:rPr>
          <w:rFonts w:ascii="Century" w:hAnsi="Century" w:cs="Miriam" w:hint="eastAsia"/>
          <w:b/>
          <w:spacing w:val="0"/>
          <w:szCs w:val="24"/>
          <w:rtl/>
        </w:rPr>
        <w:t>שונים</w:t>
      </w:r>
      <w:r w:rsidRPr="003D3A22">
        <w:rPr>
          <w:rFonts w:ascii="Century" w:hAnsi="Century" w:cs="Miriam"/>
          <w:b/>
          <w:spacing w:val="0"/>
          <w:szCs w:val="24"/>
          <w:rtl/>
        </w:rPr>
        <w:t xml:space="preserve">, </w:t>
      </w:r>
      <w:r w:rsidRPr="003D3A22">
        <w:rPr>
          <w:rFonts w:ascii="Century" w:hAnsi="Century" w:cs="Miriam" w:hint="eastAsia"/>
          <w:b/>
          <w:spacing w:val="0"/>
          <w:szCs w:val="24"/>
          <w:rtl/>
        </w:rPr>
        <w:t>שהשמיעו</w:t>
      </w:r>
      <w:r w:rsidRPr="003D3A22">
        <w:rPr>
          <w:rFonts w:ascii="Century" w:hAnsi="Century" w:cs="Miriam"/>
          <w:b/>
          <w:spacing w:val="0"/>
          <w:szCs w:val="24"/>
          <w:rtl/>
        </w:rPr>
        <w:t xml:space="preserve"> </w:t>
      </w:r>
      <w:r w:rsidRPr="003D3A22">
        <w:rPr>
          <w:rFonts w:ascii="Century" w:hAnsi="Century" w:cs="Miriam" w:hint="eastAsia"/>
          <w:b/>
          <w:spacing w:val="0"/>
          <w:szCs w:val="24"/>
          <w:rtl/>
        </w:rPr>
        <w:t>דברי</w:t>
      </w:r>
      <w:r w:rsidRPr="003D3A22">
        <w:rPr>
          <w:rFonts w:ascii="Century" w:hAnsi="Century" w:cs="Miriam"/>
          <w:b/>
          <w:spacing w:val="0"/>
          <w:szCs w:val="24"/>
          <w:rtl/>
        </w:rPr>
        <w:t xml:space="preserve"> </w:t>
      </w:r>
      <w:r w:rsidRPr="003D3A22">
        <w:rPr>
          <w:rFonts w:ascii="Century" w:hAnsi="Century" w:cs="Miriam" w:hint="eastAsia"/>
          <w:b/>
          <w:spacing w:val="0"/>
          <w:szCs w:val="24"/>
          <w:rtl/>
        </w:rPr>
        <w:t>טינה</w:t>
      </w:r>
      <w:r w:rsidRPr="003D3A22">
        <w:rPr>
          <w:rFonts w:ascii="Century" w:hAnsi="Century" w:cs="Miriam"/>
          <w:b/>
          <w:spacing w:val="0"/>
          <w:szCs w:val="24"/>
          <w:rtl/>
        </w:rPr>
        <w:t xml:space="preserve">, </w:t>
      </w:r>
      <w:r w:rsidRPr="003D3A22">
        <w:rPr>
          <w:rFonts w:ascii="Century" w:hAnsi="Century" w:cs="Miriam" w:hint="eastAsia"/>
          <w:b/>
          <w:spacing w:val="0"/>
          <w:szCs w:val="24"/>
          <w:rtl/>
        </w:rPr>
        <w:t>בוז</w:t>
      </w:r>
      <w:r w:rsidRPr="003D3A22">
        <w:rPr>
          <w:rFonts w:ascii="Century" w:hAnsi="Century" w:cs="Miriam"/>
          <w:b/>
          <w:spacing w:val="0"/>
          <w:szCs w:val="24"/>
          <w:rtl/>
        </w:rPr>
        <w:t xml:space="preserve"> </w:t>
      </w:r>
      <w:r w:rsidRPr="003D3A22">
        <w:rPr>
          <w:rFonts w:ascii="Century" w:hAnsi="Century" w:cs="Miriam" w:hint="eastAsia"/>
          <w:b/>
          <w:spacing w:val="0"/>
          <w:szCs w:val="24"/>
          <w:rtl/>
        </w:rPr>
        <w:t>ועלבון</w:t>
      </w:r>
      <w:r w:rsidRPr="003D3A22">
        <w:rPr>
          <w:rFonts w:ascii="Century" w:hAnsi="Century" w:cs="Miriam"/>
          <w:b/>
          <w:spacing w:val="0"/>
          <w:szCs w:val="24"/>
          <w:rtl/>
        </w:rPr>
        <w:t xml:space="preserve"> </w:t>
      </w:r>
      <w:r w:rsidRPr="003D3A22">
        <w:rPr>
          <w:rFonts w:ascii="Century" w:hAnsi="Century" w:cs="Miriam" w:hint="eastAsia"/>
          <w:b/>
          <w:spacing w:val="0"/>
          <w:szCs w:val="24"/>
          <w:rtl/>
        </w:rPr>
        <w:t>כלפי</w:t>
      </w:r>
      <w:r w:rsidRPr="003D3A22">
        <w:rPr>
          <w:rFonts w:ascii="Century" w:hAnsi="Century" w:cs="Miriam"/>
          <w:b/>
          <w:spacing w:val="0"/>
          <w:szCs w:val="24"/>
          <w:rtl/>
        </w:rPr>
        <w:t xml:space="preserve"> </w:t>
      </w:r>
      <w:r w:rsidRPr="003D3A22">
        <w:rPr>
          <w:rFonts w:ascii="Century" w:hAnsi="Century" w:cs="Miriam" w:hint="eastAsia"/>
          <w:b/>
          <w:spacing w:val="0"/>
          <w:szCs w:val="24"/>
          <w:rtl/>
        </w:rPr>
        <w:t>חלקים</w:t>
      </w:r>
      <w:r w:rsidRPr="003D3A22">
        <w:rPr>
          <w:rFonts w:ascii="Century" w:hAnsi="Century" w:cs="Miriam"/>
          <w:b/>
          <w:spacing w:val="0"/>
          <w:szCs w:val="24"/>
          <w:rtl/>
        </w:rPr>
        <w:t xml:space="preserve"> </w:t>
      </w:r>
      <w:r w:rsidRPr="003D3A22">
        <w:rPr>
          <w:rFonts w:ascii="Century" w:hAnsi="Century" w:cs="Miriam" w:hint="eastAsia"/>
          <w:b/>
          <w:spacing w:val="0"/>
          <w:szCs w:val="24"/>
          <w:rtl/>
        </w:rPr>
        <w:t>בציבור</w:t>
      </w:r>
      <w:r w:rsidRPr="003D3A22">
        <w:rPr>
          <w:rFonts w:ascii="Century" w:hAnsi="Century" w:cs="Miriam"/>
          <w:b/>
          <w:spacing w:val="0"/>
          <w:szCs w:val="24"/>
          <w:rtl/>
        </w:rPr>
        <w:t xml:space="preserve">, </w:t>
      </w:r>
      <w:r w:rsidRPr="003D3A22">
        <w:rPr>
          <w:rFonts w:ascii="Century" w:hAnsi="Century" w:cs="Miriam" w:hint="eastAsia"/>
          <w:b/>
          <w:spacing w:val="0"/>
          <w:szCs w:val="24"/>
          <w:rtl/>
        </w:rPr>
        <w:t>על</w:t>
      </w:r>
      <w:r w:rsidRPr="003D3A22">
        <w:rPr>
          <w:rFonts w:ascii="Century" w:hAnsi="Century" w:cs="Miriam"/>
          <w:b/>
          <w:spacing w:val="0"/>
          <w:szCs w:val="24"/>
          <w:rtl/>
        </w:rPr>
        <w:t xml:space="preserve"> </w:t>
      </w:r>
      <w:r w:rsidRPr="003D3A22">
        <w:rPr>
          <w:rFonts w:ascii="Century" w:hAnsi="Century" w:cs="Miriam" w:hint="eastAsia"/>
          <w:b/>
          <w:spacing w:val="0"/>
          <w:szCs w:val="24"/>
          <w:rtl/>
        </w:rPr>
        <w:t>רקע</w:t>
      </w:r>
      <w:r w:rsidRPr="003D3A22">
        <w:rPr>
          <w:rFonts w:ascii="Century" w:hAnsi="Century" w:cs="Miriam"/>
          <w:b/>
          <w:spacing w:val="0"/>
          <w:szCs w:val="24"/>
          <w:rtl/>
        </w:rPr>
        <w:t xml:space="preserve"> </w:t>
      </w:r>
      <w:r w:rsidRPr="003D3A22">
        <w:rPr>
          <w:rFonts w:ascii="Century" w:hAnsi="Century" w:cs="Miriam" w:hint="eastAsia"/>
          <w:b/>
          <w:spacing w:val="0"/>
          <w:szCs w:val="24"/>
          <w:rtl/>
        </w:rPr>
        <w:t>מוצאם</w:t>
      </w:r>
      <w:r w:rsidRPr="003D3A22">
        <w:rPr>
          <w:rFonts w:ascii="Century" w:hAnsi="Century" w:cs="Miriam"/>
          <w:b/>
          <w:spacing w:val="0"/>
          <w:szCs w:val="24"/>
          <w:rtl/>
        </w:rPr>
        <w:t xml:space="preserve"> </w:t>
      </w:r>
      <w:r w:rsidRPr="003D3A22">
        <w:rPr>
          <w:rFonts w:ascii="Century" w:hAnsi="Century" w:cs="Miriam" w:hint="eastAsia"/>
          <w:b/>
          <w:spacing w:val="0"/>
          <w:szCs w:val="24"/>
          <w:rtl/>
        </w:rPr>
        <w:t>העדתי</w:t>
      </w:r>
      <w:r w:rsidRPr="003D3A22">
        <w:rPr>
          <w:rFonts w:ascii="Century" w:hAnsi="Century" w:cs="Miriam"/>
          <w:b/>
          <w:spacing w:val="0"/>
          <w:szCs w:val="24"/>
          <w:rtl/>
        </w:rPr>
        <w:t xml:space="preserve">, </w:t>
      </w:r>
      <w:r w:rsidRPr="003D3A22">
        <w:rPr>
          <w:rFonts w:ascii="Century" w:hAnsi="Century" w:cs="Miriam" w:hint="eastAsia"/>
          <w:b/>
          <w:spacing w:val="0"/>
          <w:szCs w:val="24"/>
          <w:rtl/>
        </w:rPr>
        <w:t>השקפתם</w:t>
      </w:r>
      <w:r w:rsidRPr="003D3A22">
        <w:rPr>
          <w:rFonts w:ascii="Century" w:hAnsi="Century" w:cs="Miriam"/>
          <w:b/>
          <w:spacing w:val="0"/>
          <w:szCs w:val="24"/>
          <w:rtl/>
        </w:rPr>
        <w:t xml:space="preserve"> </w:t>
      </w:r>
      <w:r w:rsidRPr="003D3A22">
        <w:rPr>
          <w:rFonts w:ascii="Century" w:hAnsi="Century" w:cs="Miriam" w:hint="eastAsia"/>
          <w:b/>
          <w:spacing w:val="0"/>
          <w:szCs w:val="24"/>
          <w:rtl/>
        </w:rPr>
        <w:t>הדתית</w:t>
      </w:r>
      <w:r w:rsidRPr="003D3A22">
        <w:rPr>
          <w:rFonts w:ascii="Century" w:hAnsi="Century" w:cs="Miriam"/>
          <w:b/>
          <w:spacing w:val="0"/>
          <w:szCs w:val="24"/>
          <w:rtl/>
        </w:rPr>
        <w:t xml:space="preserve">, </w:t>
      </w:r>
      <w:r w:rsidRPr="003D3A22">
        <w:rPr>
          <w:rFonts w:ascii="Century" w:hAnsi="Century" w:cs="Miriam" w:hint="eastAsia"/>
          <w:b/>
          <w:spacing w:val="0"/>
          <w:szCs w:val="24"/>
          <w:rtl/>
        </w:rPr>
        <w:t>ונטייתם</w:t>
      </w:r>
      <w:r w:rsidRPr="003D3A22">
        <w:rPr>
          <w:rFonts w:ascii="Century" w:hAnsi="Century" w:cs="Miriam"/>
          <w:b/>
          <w:spacing w:val="0"/>
          <w:szCs w:val="24"/>
          <w:rtl/>
        </w:rPr>
        <w:t xml:space="preserve"> </w:t>
      </w:r>
      <w:r w:rsidRPr="003D3A22">
        <w:rPr>
          <w:rFonts w:ascii="Century" w:hAnsi="Century" w:cs="Miriam" w:hint="eastAsia"/>
          <w:b/>
          <w:spacing w:val="0"/>
          <w:szCs w:val="24"/>
          <w:rtl/>
        </w:rPr>
        <w:t>המינית</w:t>
      </w:r>
      <w:r w:rsidRPr="003D3A22">
        <w:rPr>
          <w:rFonts w:ascii="Century" w:hAnsi="Century" w:cs="Miriam"/>
          <w:b/>
          <w:spacing w:val="0"/>
          <w:szCs w:val="24"/>
          <w:rtl/>
        </w:rPr>
        <w:t xml:space="preserve">, </w:t>
      </w:r>
      <w:r w:rsidRPr="003D3A22">
        <w:rPr>
          <w:rFonts w:ascii="Century" w:hAnsi="Century" w:cs="Miriam" w:hint="eastAsia"/>
          <w:b/>
          <w:spacing w:val="0"/>
          <w:szCs w:val="24"/>
          <w:rtl/>
        </w:rPr>
        <w:t>באופן</w:t>
      </w:r>
      <w:r w:rsidRPr="003D3A22">
        <w:rPr>
          <w:rFonts w:ascii="Century" w:hAnsi="Century" w:cs="Miriam"/>
          <w:b/>
          <w:spacing w:val="0"/>
          <w:szCs w:val="24"/>
          <w:rtl/>
        </w:rPr>
        <w:t xml:space="preserve"> </w:t>
      </w:r>
      <w:r w:rsidRPr="003D3A22">
        <w:rPr>
          <w:rFonts w:ascii="Century" w:hAnsi="Century" w:cs="Miriam" w:hint="eastAsia"/>
          <w:b/>
          <w:spacing w:val="0"/>
          <w:szCs w:val="24"/>
          <w:rtl/>
        </w:rPr>
        <w:t>צורם</w:t>
      </w:r>
      <w:r w:rsidRPr="003D3A22">
        <w:rPr>
          <w:rFonts w:ascii="Century" w:hAnsi="Century" w:cs="Miriam"/>
          <w:b/>
          <w:spacing w:val="0"/>
          <w:szCs w:val="24"/>
          <w:rtl/>
        </w:rPr>
        <w:t xml:space="preserve">, </w:t>
      </w:r>
      <w:r w:rsidRPr="003D3A22">
        <w:rPr>
          <w:rFonts w:ascii="Century" w:hAnsi="Century" w:cs="Miriam" w:hint="eastAsia"/>
          <w:b/>
          <w:spacing w:val="0"/>
          <w:szCs w:val="24"/>
          <w:rtl/>
        </w:rPr>
        <w:t>בוטה</w:t>
      </w:r>
      <w:r w:rsidRPr="003D3A22">
        <w:rPr>
          <w:rFonts w:ascii="Century" w:hAnsi="Century" w:cs="Miriam"/>
          <w:b/>
          <w:spacing w:val="0"/>
          <w:szCs w:val="24"/>
          <w:rtl/>
        </w:rPr>
        <w:t xml:space="preserve"> </w:t>
      </w:r>
      <w:r w:rsidRPr="003D3A22">
        <w:rPr>
          <w:rFonts w:ascii="Century" w:hAnsi="Century" w:cs="Miriam" w:hint="eastAsia"/>
          <w:b/>
          <w:spacing w:val="0"/>
          <w:szCs w:val="24"/>
          <w:rtl/>
        </w:rPr>
        <w:t>ופוגעני</w:t>
      </w:r>
      <w:r w:rsidRPr="003D3A22">
        <w:rPr>
          <w:rFonts w:ascii="Century" w:hAnsi="Century" w:cs="Miriam"/>
          <w:b/>
          <w:spacing w:val="0"/>
          <w:szCs w:val="24"/>
          <w:rtl/>
        </w:rPr>
        <w:t xml:space="preserve">. </w:t>
      </w:r>
      <w:r w:rsidRPr="003D3A22">
        <w:rPr>
          <w:rFonts w:ascii="Century" w:hAnsi="Century" w:cs="Miriam" w:hint="eastAsia"/>
          <w:b/>
          <w:spacing w:val="0"/>
          <w:szCs w:val="24"/>
          <w:rtl/>
        </w:rPr>
        <w:t>חרף</w:t>
      </w:r>
      <w:r w:rsidRPr="003D3A22">
        <w:rPr>
          <w:rFonts w:ascii="Century" w:hAnsi="Century" w:cs="Miriam"/>
          <w:b/>
          <w:spacing w:val="0"/>
          <w:szCs w:val="24"/>
          <w:rtl/>
        </w:rPr>
        <w:t xml:space="preserve"> </w:t>
      </w:r>
      <w:r w:rsidRPr="003D3A22">
        <w:rPr>
          <w:rFonts w:ascii="Century" w:hAnsi="Century" w:cs="Miriam" w:hint="eastAsia"/>
          <w:b/>
          <w:spacing w:val="0"/>
          <w:szCs w:val="24"/>
          <w:rtl/>
        </w:rPr>
        <w:t>התבטאויות</w:t>
      </w:r>
      <w:r w:rsidRPr="003D3A22">
        <w:rPr>
          <w:rFonts w:ascii="Century" w:hAnsi="Century" w:cs="Miriam"/>
          <w:b/>
          <w:spacing w:val="0"/>
          <w:szCs w:val="24"/>
          <w:rtl/>
        </w:rPr>
        <w:t xml:space="preserve"> </w:t>
      </w:r>
      <w:r w:rsidRPr="003D3A22">
        <w:rPr>
          <w:rFonts w:ascii="Century" w:hAnsi="Century" w:cs="Miriam" w:hint="cs"/>
          <w:b/>
          <w:spacing w:val="0"/>
          <w:szCs w:val="24"/>
          <w:rtl/>
        </w:rPr>
        <w:t xml:space="preserve">קשות </w:t>
      </w:r>
      <w:r w:rsidRPr="003D3A22">
        <w:rPr>
          <w:rFonts w:ascii="Century" w:hAnsi="Century" w:cs="Miriam" w:hint="eastAsia"/>
          <w:b/>
          <w:spacing w:val="0"/>
          <w:szCs w:val="24"/>
          <w:rtl/>
        </w:rPr>
        <w:t>אלה</w:t>
      </w:r>
      <w:r w:rsidRPr="003D3A22">
        <w:rPr>
          <w:rFonts w:ascii="Century" w:hAnsi="Century" w:cs="Miriam"/>
          <w:b/>
          <w:spacing w:val="0"/>
          <w:szCs w:val="24"/>
          <w:rtl/>
        </w:rPr>
        <w:t xml:space="preserve"> </w:t>
      </w:r>
      <w:r w:rsidRPr="003D3A22">
        <w:rPr>
          <w:rFonts w:ascii="Century" w:hAnsi="Century" w:cs="Miriam" w:hint="eastAsia"/>
          <w:b/>
          <w:spacing w:val="0"/>
          <w:szCs w:val="24"/>
          <w:rtl/>
        </w:rPr>
        <w:t>של</w:t>
      </w:r>
      <w:r w:rsidRPr="003D3A22">
        <w:rPr>
          <w:rFonts w:ascii="Century" w:hAnsi="Century" w:cs="Miriam"/>
          <w:b/>
          <w:spacing w:val="0"/>
          <w:szCs w:val="24"/>
          <w:rtl/>
        </w:rPr>
        <w:t xml:space="preserve"> </w:t>
      </w:r>
      <w:r w:rsidRPr="003D3A22">
        <w:rPr>
          <w:rFonts w:ascii="Century" w:hAnsi="Century" w:cs="Miriam" w:hint="eastAsia"/>
          <w:b/>
          <w:spacing w:val="0"/>
          <w:szCs w:val="24"/>
          <w:rtl/>
        </w:rPr>
        <w:t>המועמדים</w:t>
      </w:r>
      <w:r w:rsidRPr="003D3A22">
        <w:rPr>
          <w:rFonts w:ascii="Century" w:hAnsi="Century" w:cs="Miriam"/>
          <w:b/>
          <w:spacing w:val="0"/>
          <w:szCs w:val="24"/>
          <w:rtl/>
        </w:rPr>
        <w:t xml:space="preserve">, </w:t>
      </w:r>
      <w:r w:rsidRPr="003D3A22">
        <w:rPr>
          <w:rFonts w:ascii="Century" w:hAnsi="Century" w:cs="Miriam" w:hint="eastAsia"/>
          <w:b/>
          <w:spacing w:val="0"/>
          <w:szCs w:val="24"/>
          <w:rtl/>
        </w:rPr>
        <w:t>שרי</w:t>
      </w:r>
      <w:r w:rsidRPr="003D3A22">
        <w:rPr>
          <w:rFonts w:ascii="Century" w:hAnsi="Century" w:cs="Miriam"/>
          <w:b/>
          <w:spacing w:val="0"/>
          <w:szCs w:val="24"/>
          <w:rtl/>
        </w:rPr>
        <w:t xml:space="preserve"> </w:t>
      </w:r>
      <w:r w:rsidRPr="003D3A22">
        <w:rPr>
          <w:rFonts w:ascii="Century" w:hAnsi="Century" w:cs="Miriam" w:hint="eastAsia"/>
          <w:b/>
          <w:spacing w:val="0"/>
          <w:szCs w:val="24"/>
          <w:rtl/>
        </w:rPr>
        <w:t>החינוך</w:t>
      </w:r>
      <w:r w:rsidRPr="003D3A22">
        <w:rPr>
          <w:rFonts w:ascii="Century" w:hAnsi="Century" w:cs="Miriam"/>
          <w:b/>
          <w:spacing w:val="0"/>
          <w:szCs w:val="24"/>
          <w:rtl/>
        </w:rPr>
        <w:t xml:space="preserve"> </w:t>
      </w:r>
      <w:r w:rsidRPr="003D3A22">
        <w:rPr>
          <w:rFonts w:ascii="Century" w:hAnsi="Century" w:cs="Miriam" w:hint="eastAsia"/>
          <w:b/>
          <w:spacing w:val="0"/>
          <w:szCs w:val="24"/>
          <w:rtl/>
        </w:rPr>
        <w:t>לדורותיהם</w:t>
      </w:r>
      <w:r w:rsidRPr="003D3A22">
        <w:rPr>
          <w:rFonts w:ascii="Century" w:hAnsi="Century" w:cs="Miriam"/>
          <w:b/>
          <w:spacing w:val="0"/>
          <w:szCs w:val="24"/>
          <w:rtl/>
        </w:rPr>
        <w:t xml:space="preserve"> </w:t>
      </w:r>
      <w:r w:rsidRPr="003D3A22">
        <w:rPr>
          <w:rFonts w:ascii="Century" w:hAnsi="Century" w:cs="Miriam" w:hint="eastAsia"/>
          <w:b/>
          <w:spacing w:val="0"/>
          <w:szCs w:val="24"/>
          <w:rtl/>
        </w:rPr>
        <w:t>לא</w:t>
      </w:r>
      <w:r w:rsidRPr="003D3A22">
        <w:rPr>
          <w:rFonts w:ascii="Century" w:hAnsi="Century" w:cs="Miriam"/>
          <w:b/>
          <w:spacing w:val="0"/>
          <w:szCs w:val="24"/>
          <w:rtl/>
        </w:rPr>
        <w:t xml:space="preserve"> </w:t>
      </w:r>
      <w:r w:rsidRPr="003D3A22">
        <w:rPr>
          <w:rFonts w:ascii="Century" w:hAnsi="Century" w:cs="Miriam" w:hint="eastAsia"/>
          <w:b/>
          <w:spacing w:val="0"/>
          <w:szCs w:val="24"/>
          <w:rtl/>
        </w:rPr>
        <w:t>מצאו</w:t>
      </w:r>
      <w:r w:rsidRPr="003D3A22">
        <w:rPr>
          <w:rFonts w:ascii="Century" w:hAnsi="Century" w:cs="Miriam"/>
          <w:b/>
          <w:spacing w:val="0"/>
          <w:szCs w:val="24"/>
          <w:rtl/>
        </w:rPr>
        <w:t xml:space="preserve"> </w:t>
      </w:r>
      <w:r w:rsidRPr="003D3A22">
        <w:rPr>
          <w:rFonts w:ascii="Century" w:hAnsi="Century" w:cs="Miriam" w:hint="eastAsia"/>
          <w:b/>
          <w:spacing w:val="0"/>
          <w:szCs w:val="24"/>
          <w:rtl/>
        </w:rPr>
        <w:t>לנכון</w:t>
      </w:r>
      <w:r w:rsidRPr="003D3A22">
        <w:rPr>
          <w:rFonts w:ascii="Century" w:hAnsi="Century" w:cs="Miriam"/>
          <w:b/>
          <w:spacing w:val="0"/>
          <w:szCs w:val="24"/>
          <w:rtl/>
        </w:rPr>
        <w:t xml:space="preserve"> </w:t>
      </w:r>
      <w:r w:rsidRPr="003D3A22">
        <w:rPr>
          <w:rFonts w:ascii="Century" w:hAnsi="Century" w:cs="Miriam" w:hint="eastAsia"/>
          <w:b/>
          <w:spacing w:val="0"/>
          <w:szCs w:val="24"/>
          <w:rtl/>
        </w:rPr>
        <w:t>לשלול</w:t>
      </w:r>
      <w:r w:rsidRPr="003D3A22">
        <w:rPr>
          <w:rFonts w:ascii="Century" w:hAnsi="Century" w:cs="Miriam"/>
          <w:b/>
          <w:spacing w:val="0"/>
          <w:szCs w:val="24"/>
          <w:rtl/>
        </w:rPr>
        <w:t xml:space="preserve"> </w:t>
      </w:r>
      <w:r w:rsidRPr="003D3A22">
        <w:rPr>
          <w:rFonts w:ascii="Century" w:hAnsi="Century" w:cs="Miriam" w:hint="eastAsia"/>
          <w:b/>
          <w:spacing w:val="0"/>
          <w:szCs w:val="24"/>
          <w:rtl/>
        </w:rPr>
        <w:t>מהם</w:t>
      </w:r>
      <w:r w:rsidRPr="003D3A22">
        <w:rPr>
          <w:rFonts w:ascii="Century" w:hAnsi="Century" w:cs="Miriam"/>
          <w:b/>
          <w:spacing w:val="0"/>
          <w:szCs w:val="24"/>
          <w:rtl/>
        </w:rPr>
        <w:t xml:space="preserve"> </w:t>
      </w:r>
      <w:r w:rsidRPr="003D3A22">
        <w:rPr>
          <w:rFonts w:ascii="Century" w:hAnsi="Century" w:cs="Miriam" w:hint="eastAsia"/>
          <w:b/>
          <w:spacing w:val="0"/>
          <w:szCs w:val="24"/>
          <w:rtl/>
        </w:rPr>
        <w:t>את</w:t>
      </w:r>
      <w:r w:rsidRPr="003D3A22">
        <w:rPr>
          <w:rFonts w:ascii="Century" w:hAnsi="Century" w:cs="Miriam"/>
          <w:b/>
          <w:spacing w:val="0"/>
          <w:szCs w:val="24"/>
          <w:rtl/>
        </w:rPr>
        <w:t xml:space="preserve"> </w:t>
      </w:r>
      <w:r w:rsidRPr="003D3A22">
        <w:rPr>
          <w:rFonts w:ascii="Century" w:hAnsi="Century" w:cs="Miriam" w:hint="eastAsia"/>
          <w:b/>
          <w:spacing w:val="0"/>
          <w:szCs w:val="24"/>
          <w:rtl/>
        </w:rPr>
        <w:t>פרס</w:t>
      </w:r>
      <w:r w:rsidRPr="003D3A22">
        <w:rPr>
          <w:rFonts w:ascii="Century" w:hAnsi="Century" w:cs="Miriam"/>
          <w:b/>
          <w:spacing w:val="0"/>
          <w:szCs w:val="24"/>
          <w:rtl/>
        </w:rPr>
        <w:t xml:space="preserve"> </w:t>
      </w:r>
      <w:r w:rsidRPr="003D3A22">
        <w:rPr>
          <w:rFonts w:ascii="Century" w:hAnsi="Century" w:cs="Miriam" w:hint="eastAsia"/>
          <w:b/>
          <w:spacing w:val="0"/>
          <w:szCs w:val="24"/>
          <w:rtl/>
        </w:rPr>
        <w:t>ישראל</w:t>
      </w:r>
      <w:r w:rsidRPr="003D3A22">
        <w:rPr>
          <w:rFonts w:ascii="Century" w:hAnsi="Century" w:cs="Miriam"/>
          <w:b/>
          <w:spacing w:val="0"/>
          <w:szCs w:val="24"/>
          <w:rtl/>
        </w:rPr>
        <w:t xml:space="preserve"> </w:t>
      </w:r>
      <w:r w:rsidRPr="003D3A22">
        <w:rPr>
          <w:rFonts w:ascii="Century" w:hAnsi="Century" w:cs="Miriam" w:hint="eastAsia"/>
          <w:b/>
          <w:spacing w:val="0"/>
          <w:szCs w:val="24"/>
          <w:rtl/>
        </w:rPr>
        <w:t>ואימצו</w:t>
      </w:r>
      <w:r w:rsidRPr="003D3A22">
        <w:rPr>
          <w:rFonts w:ascii="Century" w:hAnsi="Century" w:cs="Miriam"/>
          <w:b/>
          <w:spacing w:val="0"/>
          <w:szCs w:val="24"/>
          <w:rtl/>
        </w:rPr>
        <w:t xml:space="preserve"> </w:t>
      </w:r>
      <w:r w:rsidRPr="003D3A22">
        <w:rPr>
          <w:rFonts w:ascii="Century" w:hAnsi="Century" w:cs="Miriam" w:hint="eastAsia"/>
          <w:b/>
          <w:spacing w:val="0"/>
          <w:szCs w:val="24"/>
          <w:rtl/>
        </w:rPr>
        <w:t>את</w:t>
      </w:r>
      <w:r w:rsidRPr="003D3A22">
        <w:rPr>
          <w:rFonts w:ascii="Century" w:hAnsi="Century" w:cs="Miriam"/>
          <w:b/>
          <w:spacing w:val="0"/>
          <w:szCs w:val="24"/>
          <w:rtl/>
        </w:rPr>
        <w:t xml:space="preserve"> </w:t>
      </w:r>
      <w:r w:rsidRPr="003D3A22">
        <w:rPr>
          <w:rFonts w:ascii="Century" w:hAnsi="Century" w:cs="Miriam" w:hint="eastAsia"/>
          <w:b/>
          <w:spacing w:val="0"/>
          <w:szCs w:val="24"/>
          <w:rtl/>
        </w:rPr>
        <w:t>המלצות</w:t>
      </w:r>
      <w:r w:rsidRPr="003D3A22">
        <w:rPr>
          <w:rFonts w:ascii="Century" w:hAnsi="Century" w:cs="Miriam"/>
          <w:b/>
          <w:spacing w:val="0"/>
          <w:szCs w:val="24"/>
          <w:rtl/>
        </w:rPr>
        <w:t xml:space="preserve"> </w:t>
      </w:r>
      <w:r w:rsidRPr="003D3A22">
        <w:rPr>
          <w:rFonts w:ascii="Century" w:hAnsi="Century" w:cs="Miriam" w:hint="eastAsia"/>
          <w:b/>
          <w:spacing w:val="0"/>
          <w:szCs w:val="24"/>
          <w:rtl/>
        </w:rPr>
        <w:t>הוועדה</w:t>
      </w:r>
      <w:r w:rsidRPr="003D3A22">
        <w:rPr>
          <w:rFonts w:ascii="Century" w:hAnsi="Century" w:cs="Miriam"/>
          <w:b/>
          <w:spacing w:val="0"/>
          <w:szCs w:val="24"/>
          <w:rtl/>
        </w:rPr>
        <w:t xml:space="preserve"> </w:t>
      </w:r>
      <w:r w:rsidRPr="003D3A22">
        <w:rPr>
          <w:rFonts w:ascii="Century" w:hAnsi="Century" w:cs="Miriam" w:hint="eastAsia"/>
          <w:b/>
          <w:spacing w:val="0"/>
          <w:szCs w:val="24"/>
          <w:rtl/>
        </w:rPr>
        <w:t>בעניינם</w:t>
      </w:r>
      <w:r w:rsidRPr="003D3A22">
        <w:rPr>
          <w:rFonts w:ascii="Century" w:hAnsi="Century" w:cs="Miriam"/>
          <w:b/>
          <w:spacing w:val="0"/>
          <w:szCs w:val="24"/>
          <w:rtl/>
        </w:rPr>
        <w:t xml:space="preserve">; </w:t>
      </w:r>
      <w:r w:rsidRPr="003D3A22">
        <w:rPr>
          <w:rFonts w:ascii="Century" w:hAnsi="Century" w:cs="Miriam" w:hint="eastAsia"/>
          <w:b/>
          <w:spacing w:val="0"/>
          <w:szCs w:val="24"/>
          <w:rtl/>
        </w:rPr>
        <w:t>ובית</w:t>
      </w:r>
      <w:r w:rsidRPr="003D3A22">
        <w:rPr>
          <w:rFonts w:ascii="Century" w:hAnsi="Century" w:cs="Miriam"/>
          <w:b/>
          <w:spacing w:val="0"/>
          <w:szCs w:val="24"/>
          <w:rtl/>
        </w:rPr>
        <w:t xml:space="preserve"> </w:t>
      </w:r>
      <w:r w:rsidRPr="003D3A22">
        <w:rPr>
          <w:rFonts w:ascii="Century" w:hAnsi="Century" w:cs="Miriam" w:hint="eastAsia"/>
          <w:b/>
          <w:spacing w:val="0"/>
          <w:szCs w:val="24"/>
          <w:rtl/>
        </w:rPr>
        <w:t>משפט</w:t>
      </w:r>
      <w:r w:rsidRPr="003D3A22">
        <w:rPr>
          <w:rFonts w:ascii="Century" w:hAnsi="Century" w:cs="Miriam"/>
          <w:b/>
          <w:spacing w:val="0"/>
          <w:szCs w:val="24"/>
          <w:rtl/>
        </w:rPr>
        <w:t xml:space="preserve"> </w:t>
      </w:r>
      <w:r w:rsidRPr="003D3A22">
        <w:rPr>
          <w:rFonts w:ascii="Century" w:hAnsi="Century" w:cs="Miriam" w:hint="eastAsia"/>
          <w:b/>
          <w:spacing w:val="0"/>
          <w:szCs w:val="24"/>
          <w:rtl/>
        </w:rPr>
        <w:t>זה</w:t>
      </w:r>
      <w:r w:rsidRPr="003D3A22">
        <w:rPr>
          <w:rFonts w:ascii="Century" w:hAnsi="Century" w:cs="Miriam"/>
          <w:b/>
          <w:spacing w:val="0"/>
          <w:szCs w:val="24"/>
          <w:rtl/>
        </w:rPr>
        <w:t xml:space="preserve"> </w:t>
      </w:r>
      <w:r w:rsidRPr="003D3A22">
        <w:rPr>
          <w:rFonts w:ascii="Century" w:hAnsi="Century" w:cs="Miriam" w:hint="eastAsia"/>
          <w:b/>
          <w:spacing w:val="0"/>
          <w:szCs w:val="24"/>
          <w:rtl/>
        </w:rPr>
        <w:t>נמנע</w:t>
      </w:r>
      <w:r w:rsidRPr="003D3A22">
        <w:rPr>
          <w:rFonts w:ascii="Century" w:hAnsi="Century" w:cs="Miriam"/>
          <w:b/>
          <w:spacing w:val="0"/>
          <w:szCs w:val="24"/>
          <w:rtl/>
        </w:rPr>
        <w:t xml:space="preserve"> </w:t>
      </w:r>
      <w:r w:rsidRPr="003D3A22">
        <w:rPr>
          <w:rFonts w:ascii="Century" w:hAnsi="Century" w:cs="Miriam" w:hint="eastAsia"/>
          <w:b/>
          <w:spacing w:val="0"/>
          <w:szCs w:val="24"/>
          <w:rtl/>
        </w:rPr>
        <w:t>בתורו</w:t>
      </w:r>
      <w:r w:rsidRPr="003D3A22">
        <w:rPr>
          <w:rFonts w:ascii="Century" w:hAnsi="Century" w:cs="Miriam"/>
          <w:b/>
          <w:spacing w:val="0"/>
          <w:szCs w:val="24"/>
          <w:rtl/>
        </w:rPr>
        <w:t xml:space="preserve"> </w:t>
      </w:r>
      <w:r w:rsidRPr="003D3A22">
        <w:rPr>
          <w:rFonts w:ascii="Century" w:hAnsi="Century" w:cs="Miriam" w:hint="eastAsia"/>
          <w:b/>
          <w:spacing w:val="0"/>
          <w:szCs w:val="24"/>
          <w:rtl/>
        </w:rPr>
        <w:t>מהתערבות</w:t>
      </w:r>
      <w:r w:rsidRPr="003D3A22">
        <w:rPr>
          <w:rFonts w:ascii="Century" w:hAnsi="Century" w:cs="Miriam"/>
          <w:b/>
          <w:spacing w:val="0"/>
          <w:szCs w:val="24"/>
          <w:rtl/>
        </w:rPr>
        <w:t xml:space="preserve"> </w:t>
      </w:r>
      <w:r w:rsidRPr="003D3A22">
        <w:rPr>
          <w:rFonts w:ascii="Century" w:hAnsi="Century" w:cs="Miriam" w:hint="eastAsia"/>
          <w:b/>
          <w:spacing w:val="0"/>
          <w:szCs w:val="24"/>
          <w:rtl/>
        </w:rPr>
        <w:t>בהחלטות</w:t>
      </w:r>
      <w:r w:rsidRPr="003D3A22">
        <w:rPr>
          <w:rFonts w:ascii="Century" w:hAnsi="Century" w:cs="Miriam"/>
          <w:b/>
          <w:spacing w:val="0"/>
          <w:szCs w:val="24"/>
          <w:rtl/>
        </w:rPr>
        <w:t xml:space="preserve"> </w:t>
      </w:r>
      <w:r w:rsidRPr="003D3A22">
        <w:rPr>
          <w:rFonts w:ascii="Century" w:hAnsi="Century" w:cs="Miriam" w:hint="eastAsia"/>
          <w:b/>
          <w:spacing w:val="0"/>
          <w:szCs w:val="24"/>
          <w:rtl/>
        </w:rPr>
        <w:t>השרים</w:t>
      </w:r>
      <w:r w:rsidRPr="007C3DF4">
        <w:rPr>
          <w:rFonts w:hint="cs"/>
          <w:rtl/>
        </w:rPr>
        <w:t xml:space="preserve">" </w:t>
      </w:r>
      <w:r>
        <w:rPr>
          <w:rFonts w:hint="cs"/>
          <w:rtl/>
        </w:rPr>
        <w:t>(</w:t>
      </w:r>
      <w:r w:rsidRPr="007C3DF4">
        <w:rPr>
          <w:rFonts w:ascii="Century" w:hAnsi="Century"/>
          <w:rtl/>
        </w:rPr>
        <w:t>בג</w:t>
      </w:r>
      <w:r w:rsidRPr="007C3DF4">
        <w:rPr>
          <w:rFonts w:ascii="Century" w:hAnsi="Century" w:hint="cs"/>
          <w:rtl/>
        </w:rPr>
        <w:t>"</w:t>
      </w:r>
      <w:r w:rsidRPr="007C3DF4">
        <w:rPr>
          <w:rFonts w:ascii="Century" w:hAnsi="Century"/>
          <w:rtl/>
        </w:rPr>
        <w:t xml:space="preserve">ץ 8076/21 </w:t>
      </w:r>
      <w:r w:rsidRPr="003D3A22">
        <w:rPr>
          <w:rFonts w:ascii="Century" w:hAnsi="Century" w:cs="Miriam"/>
          <w:b/>
          <w:spacing w:val="0"/>
          <w:szCs w:val="24"/>
          <w:rtl/>
        </w:rPr>
        <w:t xml:space="preserve">ועדת </w:t>
      </w:r>
      <w:r w:rsidRPr="003D3A22">
        <w:rPr>
          <w:rFonts w:ascii="Century" w:hAnsi="Century" w:cs="Miriam" w:hint="cs"/>
          <w:b/>
          <w:spacing w:val="0"/>
          <w:szCs w:val="24"/>
          <w:rtl/>
        </w:rPr>
        <w:t>השופט</w:t>
      </w:r>
      <w:r w:rsidRPr="003D3A22">
        <w:rPr>
          <w:rFonts w:ascii="Century" w:hAnsi="Century" w:cs="Miriam"/>
          <w:b/>
          <w:spacing w:val="0"/>
          <w:szCs w:val="24"/>
          <w:rtl/>
        </w:rPr>
        <w:t>ים להענקת פרס ישראל לשנת תשפ"א בתחום חקר מדעי המחשב נ' שרת החינוך</w:t>
      </w:r>
      <w:r>
        <w:rPr>
          <w:rFonts w:ascii="Century" w:hAnsi="Century" w:hint="cs"/>
          <w:rtl/>
        </w:rPr>
        <w:t xml:space="preserve">, פסקה 44 לחוות דעתה </w:t>
      </w:r>
      <w:r w:rsidRPr="007C3DF4">
        <w:rPr>
          <w:rtl/>
        </w:rPr>
        <w:t>(‏29.</w:t>
      </w:r>
      <w:r>
        <w:rPr>
          <w:rFonts w:hint="cs"/>
          <w:rtl/>
        </w:rPr>
        <w:t>0</w:t>
      </w:r>
      <w:r w:rsidRPr="007C3DF4">
        <w:rPr>
          <w:rtl/>
        </w:rPr>
        <w:t>3.2022</w:t>
      </w:r>
      <w:r w:rsidRPr="007C3DF4">
        <w:rPr>
          <w:rFonts w:hint="cs"/>
          <w:rtl/>
        </w:rPr>
        <w:t>)</w:t>
      </w:r>
      <w:r>
        <w:rPr>
          <w:rFonts w:hint="cs"/>
          <w:rtl/>
        </w:rPr>
        <w:t>).</w:t>
      </w:r>
    </w:p>
    <w:p w:rsidR="006042C9" w:rsidRPr="003D3A22" w:rsidRDefault="006042C9" w:rsidP="006042C9">
      <w:pPr>
        <w:pStyle w:val="Ruller41"/>
        <w:spacing w:before="240" w:after="240"/>
        <w:rPr>
          <w:rtl/>
        </w:rPr>
      </w:pPr>
      <w:r>
        <w:rPr>
          <w:rtl/>
        </w:rPr>
        <w:tab/>
      </w:r>
      <w:r>
        <w:rPr>
          <w:rFonts w:hint="cs"/>
          <w:rtl/>
        </w:rPr>
        <w:t xml:space="preserve">עיון בסקירה הפסיקתית שהניח בפנינו חברי, השופט </w:t>
      </w:r>
      <w:r w:rsidRPr="003D3A22">
        <w:rPr>
          <w:rFonts w:ascii="Century" w:hAnsi="Century" w:cs="Miriam" w:hint="cs"/>
          <w:b/>
          <w:spacing w:val="0"/>
          <w:szCs w:val="24"/>
          <w:rtl/>
        </w:rPr>
        <w:t>י' עמית</w:t>
      </w:r>
      <w:r>
        <w:rPr>
          <w:rFonts w:hint="cs"/>
          <w:rtl/>
        </w:rPr>
        <w:t>, מלמד כי תופעה זו התאפשרה הודות להלכה שלפיה "</w:t>
      </w:r>
      <w:r w:rsidRPr="003D3A22">
        <w:rPr>
          <w:rFonts w:ascii="Century" w:hAnsi="Century" w:cs="Miriam" w:hint="cs"/>
          <w:b/>
          <w:spacing w:val="0"/>
          <w:szCs w:val="24"/>
          <w:rtl/>
        </w:rPr>
        <w:t xml:space="preserve">הפרס ניתן על הישגים מקצועיים ותרומה ייחודית בתחום מסוים, ויש להפריד בין פועלם המקצועי של חתן או כלת הפרס לבין </w:t>
      </w:r>
      <w:r w:rsidRPr="003D3A22">
        <w:rPr>
          <w:rFonts w:ascii="Century" w:hAnsi="Century" w:cs="Miriam"/>
          <w:b/>
          <w:spacing w:val="0"/>
          <w:szCs w:val="24"/>
          <w:rtl/>
        </w:rPr>
        <w:t xml:space="preserve">התבטאויות </w:t>
      </w:r>
      <w:r>
        <w:rPr>
          <w:rFonts w:ascii="Century" w:hAnsi="Century" w:cs="Miriam" w:hint="cs"/>
          <w:b/>
          <w:spacing w:val="0"/>
          <w:szCs w:val="24"/>
          <w:rtl/>
        </w:rPr>
        <w:t>'</w:t>
      </w:r>
      <w:r w:rsidRPr="003D3A22">
        <w:rPr>
          <w:rFonts w:ascii="Century" w:hAnsi="Century" w:cs="Miriam"/>
          <w:b/>
          <w:spacing w:val="0"/>
          <w:szCs w:val="24"/>
          <w:rtl/>
        </w:rPr>
        <w:t>פרטיות</w:t>
      </w:r>
      <w:r>
        <w:rPr>
          <w:rFonts w:ascii="Century" w:hAnsi="Century" w:cs="Miriam" w:hint="cs"/>
          <w:b/>
          <w:spacing w:val="0"/>
          <w:szCs w:val="24"/>
          <w:rtl/>
        </w:rPr>
        <w:t>'</w:t>
      </w:r>
      <w:r w:rsidRPr="003D3A22">
        <w:rPr>
          <w:rFonts w:ascii="Century" w:hAnsi="Century" w:cs="Miriam" w:hint="cs"/>
          <w:b/>
          <w:spacing w:val="0"/>
          <w:szCs w:val="24"/>
          <w:rtl/>
        </w:rPr>
        <w:t xml:space="preserve"> בנושאים שאינם נוגעים במישרין לפועל</w:t>
      </w:r>
      <w:r>
        <w:rPr>
          <w:rFonts w:ascii="Century" w:hAnsi="Century" w:cs="Miriam" w:hint="cs"/>
          <w:b/>
          <w:spacing w:val="0"/>
          <w:szCs w:val="24"/>
          <w:rtl/>
        </w:rPr>
        <w:t>ם המקצועי של המועמדים</w:t>
      </w:r>
      <w:r>
        <w:rPr>
          <w:rFonts w:hint="cs"/>
          <w:rtl/>
        </w:rPr>
        <w:t>". חברי סיכם את דבריו בנדון בקבעו כי "</w:t>
      </w:r>
      <w:r w:rsidRPr="003D3A22">
        <w:rPr>
          <w:rFonts w:ascii="Century" w:hAnsi="Century" w:cs="Miriam" w:hint="cs"/>
          <w:b/>
          <w:spacing w:val="0"/>
          <w:szCs w:val="24"/>
          <w:rtl/>
        </w:rPr>
        <w:t>לנוכח הכמעט-חסינות שיש להמלצת ועדת הפרס, אין מקום להתערבותנו בזירה המשפטית</w:t>
      </w:r>
      <w:r>
        <w:rPr>
          <w:rFonts w:ascii="Century" w:hAnsi="Century" w:hint="cs"/>
          <w:rtl/>
        </w:rPr>
        <w:t>"</w:t>
      </w:r>
      <w:r>
        <w:rPr>
          <w:rFonts w:hint="cs"/>
          <w:rtl/>
        </w:rPr>
        <w:t>.</w:t>
      </w:r>
    </w:p>
    <w:p w:rsidR="006042C9" w:rsidRDefault="006042C9" w:rsidP="006042C9">
      <w:pPr>
        <w:pStyle w:val="Ruller41"/>
        <w:spacing w:before="240" w:after="240"/>
        <w:rPr>
          <w:rtl/>
        </w:rPr>
      </w:pPr>
      <w:r>
        <w:rPr>
          <w:rtl/>
        </w:rPr>
        <w:tab/>
      </w:r>
      <w:r>
        <w:rPr>
          <w:rFonts w:hint="cs"/>
          <w:rtl/>
        </w:rPr>
        <w:t xml:space="preserve">שוב ושוב בית משפט זה נדרש לעסוק בעתירות נגד ההחלטה על הענקת פרס ישראל למועמד זה או אחר. עותרים ועותרות מגיעים לפתחינו כשהם מצוידים בשורת התבטאויות המלמדות על קיומם של פגמים ערכיים מהותיים בחתן או בכלת הפרס המיועדים. תקוותם היא כי אולי הפעם ייקבע שהתבטאויות המועמד או המועמדת הן כה קיצוניות, עד שאין מנוס מהתערבות בהחלטת השר. שוב ושוב </w:t>
      </w:r>
      <w:r>
        <w:rPr>
          <w:rtl/>
        </w:rPr>
        <w:t>–</w:t>
      </w:r>
      <w:r>
        <w:rPr>
          <w:rFonts w:hint="cs"/>
          <w:rtl/>
        </w:rPr>
        <w:t xml:space="preserve"> העתירות נדחות, תוך שאנו נדרשים לקבוע כי ההתבטאויות שעל הפרק אינן כה-קיצוניות עד שיהיה בהן משום הצדקה להתערבות בהחלטה על הענקת הפרס.</w:t>
      </w:r>
    </w:p>
    <w:p w:rsidR="006042C9" w:rsidRDefault="006042C9" w:rsidP="006042C9">
      <w:pPr>
        <w:pStyle w:val="Ruller41"/>
        <w:spacing w:before="240" w:after="240"/>
        <w:rPr>
          <w:rtl/>
        </w:rPr>
      </w:pPr>
      <w:r>
        <w:rPr>
          <w:rtl/>
        </w:rPr>
        <w:tab/>
      </w:r>
      <w:r>
        <w:rPr>
          <w:rFonts w:hint="cs"/>
          <w:rtl/>
        </w:rPr>
        <w:t>ואולם, קשה עליי עד מאוד לקבוע כי התבטאויותיו של הרב יוסף לא מעידות עליו כ"</w:t>
      </w:r>
      <w:r w:rsidRPr="003D3A22">
        <w:rPr>
          <w:rFonts w:ascii="Century" w:hAnsi="Century" w:cs="Miriam"/>
          <w:b/>
          <w:spacing w:val="0"/>
          <w:szCs w:val="24"/>
          <w:rtl/>
        </w:rPr>
        <w:t>מי שידוע כאוחז בעמדות גזעניות</w:t>
      </w:r>
      <w:r>
        <w:rPr>
          <w:rFonts w:hint="cs"/>
          <w:rtl/>
        </w:rPr>
        <w:t xml:space="preserve">" (כלשונה של השופטת </w:t>
      </w:r>
      <w:r>
        <w:rPr>
          <w:rFonts w:ascii="Century" w:hAnsi="Century" w:cs="Miriam" w:hint="cs"/>
          <w:b/>
          <w:spacing w:val="0"/>
          <w:szCs w:val="24"/>
          <w:rtl/>
        </w:rPr>
        <w:t>ארבל</w:t>
      </w:r>
      <w:r>
        <w:rPr>
          <w:rFonts w:ascii="Century" w:hAnsi="Century" w:hint="cs"/>
          <w:rtl/>
        </w:rPr>
        <w:t xml:space="preserve"> בעניין </w:t>
      </w:r>
      <w:proofErr w:type="spellStart"/>
      <w:r w:rsidRPr="001102D1">
        <w:rPr>
          <w:rFonts w:ascii="Century" w:hAnsi="Century" w:cs="Miriam" w:hint="cs"/>
          <w:b/>
          <w:spacing w:val="0"/>
          <w:szCs w:val="24"/>
          <w:rtl/>
        </w:rPr>
        <w:t>שטרנהל</w:t>
      </w:r>
      <w:proofErr w:type="spellEnd"/>
      <w:r w:rsidRPr="001102D1">
        <w:rPr>
          <w:rFonts w:ascii="Century" w:hAnsi="Century" w:hint="cs"/>
          <w:rtl/>
        </w:rPr>
        <w:t>)</w:t>
      </w:r>
      <w:r>
        <w:rPr>
          <w:rFonts w:ascii="Century" w:hAnsi="Century" w:hint="cs"/>
          <w:rtl/>
        </w:rPr>
        <w:t>, או כמי ש"</w:t>
      </w:r>
      <w:r w:rsidRPr="003D3A22">
        <w:rPr>
          <w:rFonts w:ascii="Century" w:hAnsi="Century" w:cs="Miriam"/>
          <w:b/>
          <w:spacing w:val="0"/>
          <w:szCs w:val="24"/>
          <w:rtl/>
        </w:rPr>
        <w:t>עשה שימוש בביטויים גזעניים קשים כלפי אדם או ציבור מסוים</w:t>
      </w:r>
      <w:r>
        <w:rPr>
          <w:rFonts w:ascii="Century" w:hAnsi="Century" w:hint="cs"/>
          <w:rtl/>
        </w:rPr>
        <w:t xml:space="preserve">" (כלשונו של השופט </w:t>
      </w:r>
      <w:r>
        <w:rPr>
          <w:rFonts w:ascii="Century" w:hAnsi="Century" w:cs="Miriam" w:hint="cs"/>
          <w:b/>
          <w:spacing w:val="0"/>
          <w:szCs w:val="24"/>
          <w:rtl/>
        </w:rPr>
        <w:t>סולברג</w:t>
      </w:r>
      <w:r>
        <w:rPr>
          <w:rFonts w:ascii="Century" w:hAnsi="Century" w:hint="cs"/>
          <w:rtl/>
        </w:rPr>
        <w:t xml:space="preserve"> בעניין </w:t>
      </w:r>
      <w:proofErr w:type="spellStart"/>
      <w:r w:rsidRPr="001102D1">
        <w:rPr>
          <w:rFonts w:ascii="Century" w:hAnsi="Century" w:cs="Miriam" w:hint="cs"/>
          <w:b/>
          <w:spacing w:val="0"/>
          <w:szCs w:val="24"/>
          <w:rtl/>
        </w:rPr>
        <w:t>גולדרייך</w:t>
      </w:r>
      <w:proofErr w:type="spellEnd"/>
      <w:r w:rsidRPr="001102D1">
        <w:rPr>
          <w:rFonts w:ascii="Century" w:hAnsi="Century" w:cs="Miriam" w:hint="cs"/>
          <w:b/>
          <w:spacing w:val="0"/>
          <w:szCs w:val="24"/>
          <w:rtl/>
        </w:rPr>
        <w:t xml:space="preserve"> הראשון</w:t>
      </w:r>
      <w:r>
        <w:rPr>
          <w:rFonts w:ascii="Century" w:hAnsi="Century" w:hint="cs"/>
          <w:rtl/>
        </w:rPr>
        <w:t>).</w:t>
      </w:r>
      <w:r>
        <w:rPr>
          <w:rFonts w:hint="cs"/>
          <w:rtl/>
        </w:rPr>
        <w:t xml:space="preserve"> </w:t>
      </w:r>
    </w:p>
    <w:p w:rsidR="006042C9" w:rsidRDefault="006042C9" w:rsidP="006042C9">
      <w:pPr>
        <w:pStyle w:val="Ruller41"/>
        <w:spacing w:before="240" w:after="240"/>
        <w:rPr>
          <w:rtl/>
        </w:rPr>
      </w:pPr>
      <w:r>
        <w:rPr>
          <w:rtl/>
        </w:rPr>
        <w:tab/>
      </w:r>
      <w:r>
        <w:rPr>
          <w:rFonts w:hint="cs"/>
          <w:rtl/>
        </w:rPr>
        <w:t xml:space="preserve">כשלעצמי, הטעם לדחיית עתירה זו ורבות מקודמותיה, אינו קשור לכך שההתבטאויות שהובאו אינן קיצוניות דיין; אלא לתפיסה שלפיה התערבותו של בית משפט זה, כמעין ועדת על, בסבירות ההחלטה להעניק פרס ישראל למועמד כזה או אחר </w:t>
      </w:r>
      <w:r>
        <w:rPr>
          <w:rtl/>
        </w:rPr>
        <w:t>–</w:t>
      </w:r>
      <w:r>
        <w:rPr>
          <w:rFonts w:hint="cs"/>
          <w:rtl/>
        </w:rPr>
        <w:t xml:space="preserve"> היא התערבות שאינה רצויה בתחום לא-לו. היטיב לעמוד על הדברים השופט </w:t>
      </w:r>
      <w:r w:rsidRPr="003D3A22">
        <w:rPr>
          <w:rFonts w:ascii="Century" w:hAnsi="Century" w:cs="Miriam" w:hint="cs"/>
          <w:b/>
          <w:spacing w:val="0"/>
          <w:szCs w:val="24"/>
          <w:rtl/>
        </w:rPr>
        <w:t>סולברג</w:t>
      </w:r>
      <w:r>
        <w:rPr>
          <w:rFonts w:hint="cs"/>
          <w:rtl/>
        </w:rPr>
        <w:t xml:space="preserve"> </w:t>
      </w:r>
      <w:r w:rsidRPr="003D3A22">
        <w:rPr>
          <w:rFonts w:ascii="Century" w:hAnsi="Century" w:hint="cs"/>
          <w:rtl/>
        </w:rPr>
        <w:t>בעניין</w:t>
      </w:r>
      <w:r w:rsidRPr="003D3A22">
        <w:rPr>
          <w:rFonts w:ascii="Century" w:hAnsi="Century" w:cs="Miriam" w:hint="cs"/>
          <w:b/>
          <w:spacing w:val="0"/>
          <w:szCs w:val="24"/>
          <w:rtl/>
        </w:rPr>
        <w:t xml:space="preserve"> </w:t>
      </w:r>
      <w:proofErr w:type="spellStart"/>
      <w:r w:rsidRPr="003D3A22">
        <w:rPr>
          <w:rFonts w:ascii="Century" w:hAnsi="Century" w:cs="Miriam" w:hint="cs"/>
          <w:b/>
          <w:spacing w:val="0"/>
          <w:szCs w:val="24"/>
          <w:rtl/>
        </w:rPr>
        <w:t>גולדרייך</w:t>
      </w:r>
      <w:proofErr w:type="spellEnd"/>
      <w:r w:rsidRPr="003D3A22">
        <w:rPr>
          <w:rFonts w:ascii="Century" w:hAnsi="Century" w:cs="Miriam" w:hint="cs"/>
          <w:b/>
          <w:spacing w:val="0"/>
          <w:szCs w:val="24"/>
          <w:rtl/>
        </w:rPr>
        <w:t xml:space="preserve"> הראשון</w:t>
      </w:r>
      <w:r>
        <w:rPr>
          <w:rFonts w:hint="cs"/>
          <w:rtl/>
        </w:rPr>
        <w:t>:</w:t>
      </w:r>
    </w:p>
    <w:p w:rsidR="006042C9" w:rsidRDefault="006042C9" w:rsidP="006042C9">
      <w:pPr>
        <w:pStyle w:val="Ruller5"/>
        <w:rPr>
          <w:rtl/>
        </w:rPr>
      </w:pPr>
      <w:r>
        <w:rPr>
          <w:rFonts w:hint="cs"/>
          <w:rtl/>
        </w:rPr>
        <w:t>"</w:t>
      </w:r>
      <w:r w:rsidRPr="003D3A22">
        <w:rPr>
          <w:rtl/>
        </w:rPr>
        <w:t xml:space="preserve">תחושה לא נוחה אופפת אותנו, כל אימת שאנו נדרשים, בעל כורחנו, להתפלפל בשאלות של הענקת פרס, לפלוני או אלמוני. ספק רב אם העניין שפיט, אם בית המשפט הוא הכתובת המתאימה לדון בדבר ולהכריע בו </w:t>
      </w:r>
      <w:r>
        <w:rPr>
          <w:rFonts w:hint="cs"/>
          <w:rtl/>
        </w:rPr>
        <w:t xml:space="preserve">[...]. </w:t>
      </w:r>
      <w:r w:rsidRPr="003D3A22">
        <w:rPr>
          <w:rtl/>
        </w:rPr>
        <w:t xml:space="preserve">לגבי דידי, נראה כי מדובר בשאלה מקצועית (כאשר הטרוניה היא כי המועמד אינו ראוי בפן המקצועי) וערכית (כאשר המועמד נתקף משום מעשיו הפרטיים והאישיים); </w:t>
      </w:r>
      <w:r>
        <w:rPr>
          <w:rtl/>
        </w:rPr>
        <w:t>כך או כך, השאלה היא לבר-משפטית</w:t>
      </w:r>
      <w:r>
        <w:rPr>
          <w:rFonts w:hint="cs"/>
          <w:rtl/>
        </w:rPr>
        <w:t>.</w:t>
      </w:r>
      <w:r w:rsidRPr="003D3A22">
        <w:rPr>
          <w:rtl/>
        </w:rPr>
        <w:t xml:space="preserve"> </w:t>
      </w:r>
      <w:r>
        <w:rPr>
          <w:rFonts w:hint="cs"/>
          <w:rtl/>
        </w:rPr>
        <w:t>[...]</w:t>
      </w:r>
      <w:r w:rsidRPr="003D3A22">
        <w:rPr>
          <w:rtl/>
        </w:rPr>
        <w:t xml:space="preserve"> דומה בעינַי, כי מוטב לבית המשפט להדיר רגליו מן העיסוק </w:t>
      </w:r>
      <w:proofErr w:type="spellStart"/>
      <w:r w:rsidRPr="003D3A22">
        <w:rPr>
          <w:rtl/>
        </w:rPr>
        <w:t>בכגון</w:t>
      </w:r>
      <w:proofErr w:type="spellEnd"/>
      <w:r w:rsidRPr="003D3A22">
        <w:rPr>
          <w:rtl/>
        </w:rPr>
        <w:t xml:space="preserve"> דא, למשוך ידו מהענקת פרס, או ממניעת הענקתו. עדיף לו, לפרס, להיות נתון למבחן הציבור</w:t>
      </w:r>
      <w:r>
        <w:rPr>
          <w:rFonts w:hint="cs"/>
          <w:rtl/>
        </w:rPr>
        <w:t xml:space="preserve">" (ראו גם: </w:t>
      </w:r>
      <w:r w:rsidRPr="0089168A">
        <w:rPr>
          <w:rtl/>
        </w:rPr>
        <w:t xml:space="preserve">בג"ץ 5658/23 </w:t>
      </w:r>
      <w:r w:rsidRPr="0089168A">
        <w:rPr>
          <w:rFonts w:ascii="Century" w:hAnsi="Century" w:cs="Miriam"/>
          <w:b/>
          <w:spacing w:val="0"/>
          <w:szCs w:val="24"/>
          <w:rtl/>
        </w:rPr>
        <w:t>התנועה למען איכות השלטון בישראל נ</w:t>
      </w:r>
      <w:r w:rsidRPr="0089168A">
        <w:rPr>
          <w:rFonts w:ascii="Century" w:hAnsi="Century" w:cs="Miriam" w:hint="cs"/>
          <w:b/>
          <w:spacing w:val="0"/>
          <w:szCs w:val="24"/>
          <w:rtl/>
        </w:rPr>
        <w:t>'</w:t>
      </w:r>
      <w:r w:rsidRPr="0089168A">
        <w:rPr>
          <w:rFonts w:ascii="Century" w:hAnsi="Century" w:cs="Miriam"/>
          <w:b/>
          <w:spacing w:val="0"/>
          <w:szCs w:val="24"/>
          <w:rtl/>
        </w:rPr>
        <w:t xml:space="preserve"> הכנסת</w:t>
      </w:r>
      <w:r>
        <w:rPr>
          <w:rFonts w:hint="cs"/>
          <w:rtl/>
        </w:rPr>
        <w:t>, פסקה 100 לחוות דעתי (01.01.2024)).</w:t>
      </w:r>
    </w:p>
    <w:p w:rsidR="006042C9" w:rsidRDefault="006042C9" w:rsidP="006042C9">
      <w:pPr>
        <w:pStyle w:val="Ruller41"/>
        <w:spacing w:before="240" w:after="240"/>
        <w:rPr>
          <w:rtl/>
        </w:rPr>
      </w:pPr>
      <w:r>
        <w:rPr>
          <w:rtl/>
        </w:rPr>
        <w:tab/>
      </w:r>
      <w:r>
        <w:rPr>
          <w:rFonts w:hint="cs"/>
          <w:rtl/>
        </w:rPr>
        <w:t>בכפוף לאמור, ואך מטעם זה, אני מסכים כי דין העתירות להידחות.</w:t>
      </w:r>
    </w:p>
    <w:p w:rsidR="00C71CAD" w:rsidRDefault="00C71CAD" w:rsidP="00C71CAD">
      <w:pPr>
        <w:pStyle w:val="Ruller41"/>
        <w:rPr>
          <w:rFonts w:ascii="Century" w:hAnsi="Century"/>
          <w:rtl/>
        </w:rPr>
      </w:pPr>
    </w:p>
    <w:p w:rsidR="00C71CAD" w:rsidRPr="00C71CAD" w:rsidRDefault="00C71CAD" w:rsidP="00C71CAD">
      <w:pPr>
        <w:pStyle w:val="Ruller41"/>
        <w:rPr>
          <w:rFonts w:ascii="Century" w:hAnsi="Century"/>
          <w:rtl/>
        </w:rPr>
      </w:pPr>
    </w:p>
    <w:tbl>
      <w:tblPr>
        <w:bidiVisual/>
        <w:tblW w:w="0" w:type="auto"/>
        <w:tblLook w:val="01E0" w:firstRow="1" w:lastRow="1" w:firstColumn="1" w:lastColumn="1" w:noHBand="0" w:noVBand="0"/>
      </w:tblPr>
      <w:tblGrid>
        <w:gridCol w:w="2769"/>
        <w:gridCol w:w="2769"/>
        <w:gridCol w:w="2774"/>
      </w:tblGrid>
      <w:tr w:rsidR="006042C9" w:rsidRPr="004776CB" w:rsidTr="00C71CAD">
        <w:tc>
          <w:tcPr>
            <w:tcW w:w="2769" w:type="dxa"/>
            <w:shd w:val="clear" w:color="auto" w:fill="auto"/>
          </w:tcPr>
          <w:p w:rsidR="006042C9" w:rsidRPr="004776CB" w:rsidRDefault="006042C9" w:rsidP="00B27423">
            <w:pPr>
              <w:pStyle w:val="Ruller41"/>
              <w:rPr>
                <w:rtl/>
              </w:rPr>
            </w:pPr>
          </w:p>
        </w:tc>
        <w:tc>
          <w:tcPr>
            <w:tcW w:w="2769" w:type="dxa"/>
            <w:shd w:val="clear" w:color="auto" w:fill="auto"/>
          </w:tcPr>
          <w:p w:rsidR="006042C9" w:rsidRPr="004776CB" w:rsidRDefault="006042C9" w:rsidP="00B27423">
            <w:pPr>
              <w:pStyle w:val="Ruller41"/>
              <w:rPr>
                <w:rtl/>
              </w:rPr>
            </w:pPr>
          </w:p>
        </w:tc>
        <w:tc>
          <w:tcPr>
            <w:tcW w:w="2774" w:type="dxa"/>
            <w:shd w:val="clear" w:color="auto" w:fill="auto"/>
          </w:tcPr>
          <w:p w:rsidR="006042C9" w:rsidRPr="004776CB" w:rsidRDefault="006042C9" w:rsidP="00B27423">
            <w:pPr>
              <w:pStyle w:val="Ruller41"/>
              <w:jc w:val="center"/>
              <w:rPr>
                <w:rtl/>
              </w:rPr>
            </w:pPr>
            <w:r w:rsidRPr="004776CB">
              <w:rPr>
                <w:rtl/>
              </w:rPr>
              <w:t>ש ו פ ט</w:t>
            </w:r>
          </w:p>
        </w:tc>
      </w:tr>
    </w:tbl>
    <w:p w:rsidR="006042C9" w:rsidRPr="00C71CAD" w:rsidRDefault="006042C9" w:rsidP="00C71CAD">
      <w:pPr>
        <w:pStyle w:val="Ruller41"/>
        <w:rPr>
          <w:rFonts w:ascii="Century" w:hAnsi="Century"/>
          <w:rtl/>
        </w:rPr>
      </w:pPr>
    </w:p>
    <w:p w:rsidR="00C71CAD" w:rsidRPr="00C71CAD" w:rsidRDefault="00C71CAD" w:rsidP="00C71CAD">
      <w:pPr>
        <w:pStyle w:val="Ruller41"/>
        <w:rPr>
          <w:rFonts w:ascii="Century" w:hAnsi="Century"/>
          <w:rtl/>
        </w:rPr>
      </w:pPr>
    </w:p>
    <w:p w:rsidR="007C3DF4" w:rsidRPr="00C71CAD" w:rsidRDefault="007C3DF4" w:rsidP="00C71CAD">
      <w:pPr>
        <w:pStyle w:val="Ruller41"/>
        <w:rPr>
          <w:rFonts w:ascii="Century" w:hAnsi="Century"/>
          <w:rtl/>
        </w:rPr>
      </w:pPr>
      <w:r w:rsidRPr="00C71CAD">
        <w:rPr>
          <w:rFonts w:ascii="Century" w:hAnsi="Century" w:hint="cs"/>
          <w:rtl/>
        </w:rPr>
        <w:tab/>
        <w:t xml:space="preserve">לפיכך </w:t>
      </w:r>
      <w:r w:rsidR="00481E80" w:rsidRPr="00C71CAD">
        <w:rPr>
          <w:rFonts w:ascii="Century" w:hAnsi="Century" w:hint="cs"/>
          <w:rtl/>
        </w:rPr>
        <w:t>הוחלט כאמור בפסק דינו של השופט י' עמית.</w:t>
      </w:r>
    </w:p>
    <w:p w:rsidR="00481E80" w:rsidRPr="00C71CAD" w:rsidRDefault="00481E80" w:rsidP="00C71CAD">
      <w:pPr>
        <w:pStyle w:val="Ruller41"/>
        <w:rPr>
          <w:rFonts w:ascii="Century" w:hAnsi="Century"/>
          <w:rtl/>
        </w:rPr>
      </w:pPr>
    </w:p>
    <w:p w:rsidR="007C3DF4" w:rsidRPr="00C71CAD" w:rsidRDefault="00C71CAD" w:rsidP="00C71CAD">
      <w:pPr>
        <w:pStyle w:val="Ruller41"/>
        <w:rPr>
          <w:rFonts w:ascii="Century" w:hAnsi="Century"/>
          <w:rtl/>
        </w:rPr>
      </w:pPr>
      <w:r w:rsidRPr="00C71CAD">
        <w:rPr>
          <w:rFonts w:ascii="Century" w:hAnsi="Century"/>
          <w:rtl/>
        </w:rPr>
        <w:tab/>
        <w:t xml:space="preserve">ניתן היום, </w:t>
      </w:r>
      <w:r w:rsidRPr="00C71CAD">
        <w:rPr>
          <w:rFonts w:ascii="Century" w:hAnsi="Century" w:hint="eastAsia"/>
          <w:rtl/>
        </w:rPr>
        <w:t>‏ל</w:t>
      </w:r>
      <w:r w:rsidRPr="00C71CAD">
        <w:rPr>
          <w:rFonts w:ascii="Century" w:hAnsi="Century"/>
          <w:rtl/>
        </w:rPr>
        <w:t xml:space="preserve">' בניסן </w:t>
      </w:r>
      <w:proofErr w:type="spellStart"/>
      <w:r w:rsidRPr="00C71CAD">
        <w:rPr>
          <w:rFonts w:ascii="Century" w:hAnsi="Century"/>
          <w:rtl/>
        </w:rPr>
        <w:t>התשפ"ד</w:t>
      </w:r>
      <w:proofErr w:type="spellEnd"/>
      <w:r w:rsidRPr="00C71CAD">
        <w:rPr>
          <w:rFonts w:ascii="Century" w:hAnsi="Century"/>
          <w:rtl/>
        </w:rPr>
        <w:t xml:space="preserve"> (</w:t>
      </w:r>
      <w:r w:rsidRPr="00C71CAD">
        <w:rPr>
          <w:rFonts w:ascii="Century" w:hAnsi="Century" w:hint="eastAsia"/>
          <w:rtl/>
        </w:rPr>
        <w:t>‏</w:t>
      </w:r>
      <w:r w:rsidRPr="00C71CAD">
        <w:rPr>
          <w:rFonts w:ascii="Century" w:hAnsi="Century"/>
          <w:rtl/>
        </w:rPr>
        <w:t>8.5.2024).</w:t>
      </w:r>
    </w:p>
    <w:p w:rsidR="00C71CAD" w:rsidRPr="00C71CAD" w:rsidRDefault="00C71CAD" w:rsidP="00C71CAD">
      <w:pPr>
        <w:pStyle w:val="Ruller41"/>
        <w:rPr>
          <w:rFonts w:ascii="Century" w:hAnsi="Century"/>
          <w:rtl/>
        </w:rPr>
      </w:pPr>
    </w:p>
    <w:p w:rsidR="00C71CAD" w:rsidRPr="00C71CAD" w:rsidRDefault="00C71CAD" w:rsidP="00C71CAD">
      <w:pPr>
        <w:pStyle w:val="Ruller41"/>
        <w:rPr>
          <w:rFonts w:ascii="Century" w:hAnsi="Century"/>
          <w:rtl/>
        </w:rPr>
      </w:pPr>
    </w:p>
    <w:p w:rsidR="00C71CAD" w:rsidRPr="00C71CAD" w:rsidRDefault="00C71CAD" w:rsidP="00C71CAD">
      <w:pPr>
        <w:pStyle w:val="Ruller41"/>
        <w:rPr>
          <w:rFonts w:ascii="Century" w:hAnsi="Century"/>
          <w:rtl/>
        </w:rPr>
      </w:pPr>
    </w:p>
    <w:p w:rsidR="00C71CAD" w:rsidRPr="004776CB" w:rsidRDefault="00C71CAD" w:rsidP="004776CB">
      <w:pPr>
        <w:tabs>
          <w:tab w:val="left" w:pos="800"/>
        </w:tabs>
        <w:jc w:val="both"/>
        <w:rPr>
          <w:rFonts w:ascii="Arial TUR" w:hAnsi="Arial TUR"/>
          <w:sz w:val="22"/>
          <w:rtl/>
        </w:rPr>
      </w:pPr>
    </w:p>
    <w:tbl>
      <w:tblPr>
        <w:bidiVisual/>
        <w:tblW w:w="8363" w:type="dxa"/>
        <w:tblLook w:val="01E0" w:firstRow="1" w:lastRow="1" w:firstColumn="1" w:lastColumn="1" w:noHBand="0" w:noVBand="0"/>
      </w:tblPr>
      <w:tblGrid>
        <w:gridCol w:w="2787"/>
        <w:gridCol w:w="2788"/>
        <w:gridCol w:w="2788"/>
      </w:tblGrid>
      <w:tr w:rsidR="001A0164" w:rsidTr="007C3DF4">
        <w:tc>
          <w:tcPr>
            <w:tcW w:w="2787" w:type="dxa"/>
            <w:shd w:val="clear" w:color="auto" w:fill="auto"/>
          </w:tcPr>
          <w:p w:rsidR="00016EF1" w:rsidRDefault="00612AF2" w:rsidP="00A51FAE">
            <w:pPr>
              <w:pStyle w:val="Ruller41"/>
              <w:rPr>
                <w:rtl/>
              </w:rPr>
            </w:pPr>
            <w:bookmarkStart w:id="7" w:name="Start_Write"/>
            <w:bookmarkEnd w:id="7"/>
            <w:r>
              <w:rPr>
                <w:rtl/>
              </w:rPr>
              <w:t>ש ו פ ט</w:t>
            </w:r>
          </w:p>
        </w:tc>
        <w:tc>
          <w:tcPr>
            <w:tcW w:w="2788" w:type="dxa"/>
            <w:shd w:val="clear" w:color="auto" w:fill="auto"/>
          </w:tcPr>
          <w:p w:rsidR="001A0164" w:rsidRDefault="00612AF2" w:rsidP="00BA0B08">
            <w:pPr>
              <w:pStyle w:val="Ruller41"/>
              <w:jc w:val="center"/>
              <w:rPr>
                <w:rtl/>
              </w:rPr>
            </w:pPr>
            <w:r>
              <w:rPr>
                <w:rtl/>
              </w:rPr>
              <w:t>ש ו פ ט</w:t>
            </w:r>
          </w:p>
        </w:tc>
        <w:tc>
          <w:tcPr>
            <w:tcW w:w="2788" w:type="dxa"/>
            <w:shd w:val="clear" w:color="auto" w:fill="auto"/>
          </w:tcPr>
          <w:p w:rsidR="001A0164" w:rsidRDefault="00612AF2" w:rsidP="00BA0B08">
            <w:pPr>
              <w:pStyle w:val="Ruller41"/>
              <w:jc w:val="center"/>
              <w:rPr>
                <w:rtl/>
              </w:rPr>
            </w:pPr>
            <w:r>
              <w:rPr>
                <w:rtl/>
              </w:rPr>
              <w:t>ש ו פ ט ת</w:t>
            </w:r>
          </w:p>
        </w:tc>
      </w:tr>
    </w:tbl>
    <w:p w:rsidR="00202165" w:rsidRDefault="00202165">
      <w:pPr>
        <w:rPr>
          <w:szCs w:val="16"/>
          <w:rtl/>
        </w:rPr>
      </w:pPr>
    </w:p>
    <w:p w:rsidR="00202165" w:rsidRDefault="00202165">
      <w:pPr>
        <w:rPr>
          <w:szCs w:val="16"/>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612AF2">
        <w:rPr>
          <w:sz w:val="16"/>
        </w:rPr>
        <w:t xml:space="preserve">24034010_E04.docx   </w:t>
      </w:r>
      <w:r w:rsidR="00612AF2">
        <w:rPr>
          <w:sz w:val="16"/>
          <w:rtl/>
        </w:rPr>
        <w:t>סח</w:t>
      </w:r>
    </w:p>
    <w:p w:rsidR="003F1F97" w:rsidRDefault="00591983" w:rsidP="007C3DF4">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sectPr w:rsidR="003F1F97" w:rsidSect="00591983">
      <w:headerReference w:type="even" r:id="rId9"/>
      <w:headerReference w:type="default" r:id="rId10"/>
      <w:footerReference w:type="even" r:id="rId11"/>
      <w:headerReference w:type="first" r:id="rId12"/>
      <w:footerReference w:type="first" r:id="rId13"/>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F94" w:rsidRDefault="00127F94">
      <w:r>
        <w:separator/>
      </w:r>
    </w:p>
  </w:endnote>
  <w:endnote w:type="continuationSeparator" w:id="0">
    <w:p w:rsidR="00127F94" w:rsidRDefault="0012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TUR">
    <w:altName w:val="Microsoft Sans Serif"/>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8" w:name="footer_line"/>
    <w:bookmarkEnd w:id="8"/>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F94" w:rsidRDefault="00127F94">
      <w:r>
        <w:separator/>
      </w:r>
    </w:p>
  </w:footnote>
  <w:footnote w:type="continuationSeparator" w:id="0">
    <w:p w:rsidR="00127F94" w:rsidRDefault="00127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6"/>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0D13E0">
      <w:rPr>
        <w:rStyle w:val="a5"/>
        <w:noProof/>
        <w:rtl/>
      </w:rPr>
      <w:t>11</w:t>
    </w:r>
    <w:r>
      <w:rPr>
        <w:rStyle w:val="a5"/>
        <w:rtl/>
      </w:rPr>
      <w:fldChar w:fldCharType="end"/>
    </w:r>
  </w:p>
  <w:p w:rsidR="00377102" w:rsidRDefault="00377102">
    <w:pPr>
      <w:pStyle w:val="a6"/>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BE6FF6">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r w:rsidR="007C3DF4">
            <w:rPr>
              <w:rFonts w:hint="cs"/>
              <w:u w:val="none"/>
              <w:rtl/>
            </w:rPr>
            <w:t xml:space="preserve"> </w:t>
          </w:r>
        </w:p>
      </w:tc>
    </w:tr>
  </w:tbl>
  <w:p w:rsidR="00045B4D" w:rsidRDefault="00045B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F5AC9318">
      <w:start w:val="1"/>
      <w:numFmt w:val="decimal"/>
      <w:pStyle w:val="Ruller4"/>
      <w:lvlText w:val="%1."/>
      <w:lvlJc w:val="left"/>
      <w:pPr>
        <w:tabs>
          <w:tab w:val="num" w:pos="907"/>
        </w:tabs>
        <w:ind w:left="0" w:firstLine="0"/>
      </w:pPr>
      <w:rPr>
        <w:rFonts w:hint="default"/>
      </w:rPr>
    </w:lvl>
    <w:lvl w:ilvl="1" w:tplc="9C3654D0" w:tentative="1">
      <w:start w:val="1"/>
      <w:numFmt w:val="lowerLetter"/>
      <w:lvlText w:val="%2."/>
      <w:lvlJc w:val="left"/>
      <w:pPr>
        <w:tabs>
          <w:tab w:val="num" w:pos="1440"/>
        </w:tabs>
        <w:ind w:left="1440" w:hanging="360"/>
      </w:pPr>
    </w:lvl>
    <w:lvl w:ilvl="2" w:tplc="05D03EE2" w:tentative="1">
      <w:start w:val="1"/>
      <w:numFmt w:val="lowerRoman"/>
      <w:lvlText w:val="%3."/>
      <w:lvlJc w:val="right"/>
      <w:pPr>
        <w:tabs>
          <w:tab w:val="num" w:pos="2160"/>
        </w:tabs>
        <w:ind w:left="2160" w:hanging="180"/>
      </w:pPr>
    </w:lvl>
    <w:lvl w:ilvl="3" w:tplc="B65EE8A2" w:tentative="1">
      <w:start w:val="1"/>
      <w:numFmt w:val="decimal"/>
      <w:lvlText w:val="%4."/>
      <w:lvlJc w:val="left"/>
      <w:pPr>
        <w:tabs>
          <w:tab w:val="num" w:pos="2880"/>
        </w:tabs>
        <w:ind w:left="2880" w:hanging="360"/>
      </w:pPr>
    </w:lvl>
    <w:lvl w:ilvl="4" w:tplc="5672A940" w:tentative="1">
      <w:start w:val="1"/>
      <w:numFmt w:val="lowerLetter"/>
      <w:lvlText w:val="%5."/>
      <w:lvlJc w:val="left"/>
      <w:pPr>
        <w:tabs>
          <w:tab w:val="num" w:pos="3600"/>
        </w:tabs>
        <w:ind w:left="3600" w:hanging="360"/>
      </w:pPr>
    </w:lvl>
    <w:lvl w:ilvl="5" w:tplc="70C6EF48" w:tentative="1">
      <w:start w:val="1"/>
      <w:numFmt w:val="lowerRoman"/>
      <w:lvlText w:val="%6."/>
      <w:lvlJc w:val="right"/>
      <w:pPr>
        <w:tabs>
          <w:tab w:val="num" w:pos="4320"/>
        </w:tabs>
        <w:ind w:left="4320" w:hanging="180"/>
      </w:pPr>
    </w:lvl>
    <w:lvl w:ilvl="6" w:tplc="418AA010" w:tentative="1">
      <w:start w:val="1"/>
      <w:numFmt w:val="decimal"/>
      <w:lvlText w:val="%7."/>
      <w:lvlJc w:val="left"/>
      <w:pPr>
        <w:tabs>
          <w:tab w:val="num" w:pos="5040"/>
        </w:tabs>
        <w:ind w:left="5040" w:hanging="360"/>
      </w:pPr>
    </w:lvl>
    <w:lvl w:ilvl="7" w:tplc="13B67EDA" w:tentative="1">
      <w:start w:val="1"/>
      <w:numFmt w:val="lowerLetter"/>
      <w:lvlText w:val="%8."/>
      <w:lvlJc w:val="left"/>
      <w:pPr>
        <w:tabs>
          <w:tab w:val="num" w:pos="5760"/>
        </w:tabs>
        <w:ind w:left="5760" w:hanging="360"/>
      </w:pPr>
    </w:lvl>
    <w:lvl w:ilvl="8" w:tplc="113A44D8" w:tentative="1">
      <w:start w:val="1"/>
      <w:numFmt w:val="lowerRoman"/>
      <w:lvlText w:val="%9."/>
      <w:lvlJc w:val="right"/>
      <w:pPr>
        <w:tabs>
          <w:tab w:val="num" w:pos="6480"/>
        </w:tabs>
        <w:ind w:left="6480" w:hanging="180"/>
      </w:pPr>
    </w:lvl>
  </w:abstractNum>
  <w:abstractNum w:abstractNumId="11" w15:restartNumberingAfterBreak="0">
    <w:nsid w:val="08CD5C9B"/>
    <w:multiLevelType w:val="hybridMultilevel"/>
    <w:tmpl w:val="87543A88"/>
    <w:lvl w:ilvl="0" w:tplc="F5C2ACFA">
      <w:start w:val="1"/>
      <w:numFmt w:val="hebrew1"/>
      <w:lvlText w:val="%1."/>
      <w:lvlJc w:val="left"/>
      <w:pPr>
        <w:ind w:left="720" w:hanging="360"/>
      </w:pPr>
      <w:rPr>
        <w:rFonts w:hint="default"/>
      </w:rPr>
    </w:lvl>
    <w:lvl w:ilvl="1" w:tplc="6772F91E" w:tentative="1">
      <w:start w:val="1"/>
      <w:numFmt w:val="lowerLetter"/>
      <w:lvlText w:val="%2."/>
      <w:lvlJc w:val="left"/>
      <w:pPr>
        <w:ind w:left="1440" w:hanging="360"/>
      </w:pPr>
    </w:lvl>
    <w:lvl w:ilvl="2" w:tplc="74B85BF2" w:tentative="1">
      <w:start w:val="1"/>
      <w:numFmt w:val="lowerRoman"/>
      <w:lvlText w:val="%3."/>
      <w:lvlJc w:val="right"/>
      <w:pPr>
        <w:ind w:left="2160" w:hanging="180"/>
      </w:pPr>
    </w:lvl>
    <w:lvl w:ilvl="3" w:tplc="AB4C10F2" w:tentative="1">
      <w:start w:val="1"/>
      <w:numFmt w:val="decimal"/>
      <w:lvlText w:val="%4."/>
      <w:lvlJc w:val="left"/>
      <w:pPr>
        <w:ind w:left="2880" w:hanging="360"/>
      </w:pPr>
    </w:lvl>
    <w:lvl w:ilvl="4" w:tplc="8A1CC61A" w:tentative="1">
      <w:start w:val="1"/>
      <w:numFmt w:val="lowerLetter"/>
      <w:lvlText w:val="%5."/>
      <w:lvlJc w:val="left"/>
      <w:pPr>
        <w:ind w:left="3600" w:hanging="360"/>
      </w:pPr>
    </w:lvl>
    <w:lvl w:ilvl="5" w:tplc="48F0B64E" w:tentative="1">
      <w:start w:val="1"/>
      <w:numFmt w:val="lowerRoman"/>
      <w:lvlText w:val="%6."/>
      <w:lvlJc w:val="right"/>
      <w:pPr>
        <w:ind w:left="4320" w:hanging="180"/>
      </w:pPr>
    </w:lvl>
    <w:lvl w:ilvl="6" w:tplc="573E5C16" w:tentative="1">
      <w:start w:val="1"/>
      <w:numFmt w:val="decimal"/>
      <w:lvlText w:val="%7."/>
      <w:lvlJc w:val="left"/>
      <w:pPr>
        <w:ind w:left="5040" w:hanging="360"/>
      </w:pPr>
    </w:lvl>
    <w:lvl w:ilvl="7" w:tplc="11A439DE" w:tentative="1">
      <w:start w:val="1"/>
      <w:numFmt w:val="lowerLetter"/>
      <w:lvlText w:val="%8."/>
      <w:lvlJc w:val="left"/>
      <w:pPr>
        <w:ind w:left="5760" w:hanging="360"/>
      </w:pPr>
    </w:lvl>
    <w:lvl w:ilvl="8" w:tplc="6546A5AA" w:tentative="1">
      <w:start w:val="1"/>
      <w:numFmt w:val="lowerRoman"/>
      <w:lvlText w:val="%9."/>
      <w:lvlJc w:val="right"/>
      <w:pPr>
        <w:ind w:left="6480" w:hanging="180"/>
      </w:pPr>
    </w:lvl>
  </w:abstractNum>
  <w:abstractNum w:abstractNumId="12" w15:restartNumberingAfterBreak="0">
    <w:nsid w:val="156458C7"/>
    <w:multiLevelType w:val="hybridMultilevel"/>
    <w:tmpl w:val="72E09F06"/>
    <w:lvl w:ilvl="0" w:tplc="4EA816DC">
      <w:start w:val="1"/>
      <w:numFmt w:val="decimal"/>
      <w:lvlText w:val="%1."/>
      <w:lvlJc w:val="left"/>
      <w:pPr>
        <w:ind w:left="720" w:hanging="360"/>
      </w:pPr>
      <w:rPr>
        <w:rFonts w:hint="default"/>
      </w:rPr>
    </w:lvl>
    <w:lvl w:ilvl="1" w:tplc="5D8425B2" w:tentative="1">
      <w:start w:val="1"/>
      <w:numFmt w:val="lowerLetter"/>
      <w:lvlText w:val="%2."/>
      <w:lvlJc w:val="left"/>
      <w:pPr>
        <w:ind w:left="1440" w:hanging="360"/>
      </w:pPr>
    </w:lvl>
    <w:lvl w:ilvl="2" w:tplc="74A20D98" w:tentative="1">
      <w:start w:val="1"/>
      <w:numFmt w:val="lowerRoman"/>
      <w:lvlText w:val="%3."/>
      <w:lvlJc w:val="right"/>
      <w:pPr>
        <w:ind w:left="2160" w:hanging="180"/>
      </w:pPr>
    </w:lvl>
    <w:lvl w:ilvl="3" w:tplc="F246163A" w:tentative="1">
      <w:start w:val="1"/>
      <w:numFmt w:val="decimal"/>
      <w:lvlText w:val="%4."/>
      <w:lvlJc w:val="left"/>
      <w:pPr>
        <w:ind w:left="2880" w:hanging="360"/>
      </w:pPr>
    </w:lvl>
    <w:lvl w:ilvl="4" w:tplc="F72CDA22" w:tentative="1">
      <w:start w:val="1"/>
      <w:numFmt w:val="lowerLetter"/>
      <w:lvlText w:val="%5."/>
      <w:lvlJc w:val="left"/>
      <w:pPr>
        <w:ind w:left="3600" w:hanging="360"/>
      </w:pPr>
    </w:lvl>
    <w:lvl w:ilvl="5" w:tplc="E7BCCEF8" w:tentative="1">
      <w:start w:val="1"/>
      <w:numFmt w:val="lowerRoman"/>
      <w:lvlText w:val="%6."/>
      <w:lvlJc w:val="right"/>
      <w:pPr>
        <w:ind w:left="4320" w:hanging="180"/>
      </w:pPr>
    </w:lvl>
    <w:lvl w:ilvl="6" w:tplc="860018B2" w:tentative="1">
      <w:start w:val="1"/>
      <w:numFmt w:val="decimal"/>
      <w:lvlText w:val="%7."/>
      <w:lvlJc w:val="left"/>
      <w:pPr>
        <w:ind w:left="5040" w:hanging="360"/>
      </w:pPr>
    </w:lvl>
    <w:lvl w:ilvl="7" w:tplc="B87E4986" w:tentative="1">
      <w:start w:val="1"/>
      <w:numFmt w:val="lowerLetter"/>
      <w:lvlText w:val="%8."/>
      <w:lvlJc w:val="left"/>
      <w:pPr>
        <w:ind w:left="5760" w:hanging="360"/>
      </w:pPr>
    </w:lvl>
    <w:lvl w:ilvl="8" w:tplc="176E398A" w:tentative="1">
      <w:start w:val="1"/>
      <w:numFmt w:val="lowerRoman"/>
      <w:lvlText w:val="%9."/>
      <w:lvlJc w:val="right"/>
      <w:pPr>
        <w:ind w:left="6480" w:hanging="180"/>
      </w:pPr>
    </w:lvl>
  </w:abstractNum>
  <w:abstractNum w:abstractNumId="13" w15:restartNumberingAfterBreak="0">
    <w:nsid w:val="19F92B44"/>
    <w:multiLevelType w:val="hybridMultilevel"/>
    <w:tmpl w:val="0D34C658"/>
    <w:lvl w:ilvl="0" w:tplc="03B81FD2">
      <w:start w:val="1"/>
      <w:numFmt w:val="decimal"/>
      <w:lvlText w:val="%1."/>
      <w:lvlJc w:val="left"/>
      <w:pPr>
        <w:ind w:left="720" w:hanging="360"/>
      </w:pPr>
      <w:rPr>
        <w:rFonts w:hint="default"/>
      </w:rPr>
    </w:lvl>
    <w:lvl w:ilvl="1" w:tplc="1A046E86" w:tentative="1">
      <w:start w:val="1"/>
      <w:numFmt w:val="lowerLetter"/>
      <w:lvlText w:val="%2."/>
      <w:lvlJc w:val="left"/>
      <w:pPr>
        <w:ind w:left="1440" w:hanging="360"/>
      </w:pPr>
    </w:lvl>
    <w:lvl w:ilvl="2" w:tplc="A1DAD90C" w:tentative="1">
      <w:start w:val="1"/>
      <w:numFmt w:val="lowerRoman"/>
      <w:lvlText w:val="%3."/>
      <w:lvlJc w:val="right"/>
      <w:pPr>
        <w:ind w:left="2160" w:hanging="180"/>
      </w:pPr>
    </w:lvl>
    <w:lvl w:ilvl="3" w:tplc="23002C66" w:tentative="1">
      <w:start w:val="1"/>
      <w:numFmt w:val="decimal"/>
      <w:lvlText w:val="%4."/>
      <w:lvlJc w:val="left"/>
      <w:pPr>
        <w:ind w:left="2880" w:hanging="360"/>
      </w:pPr>
    </w:lvl>
    <w:lvl w:ilvl="4" w:tplc="C15C9116" w:tentative="1">
      <w:start w:val="1"/>
      <w:numFmt w:val="lowerLetter"/>
      <w:lvlText w:val="%5."/>
      <w:lvlJc w:val="left"/>
      <w:pPr>
        <w:ind w:left="3600" w:hanging="360"/>
      </w:pPr>
    </w:lvl>
    <w:lvl w:ilvl="5" w:tplc="947E1402" w:tentative="1">
      <w:start w:val="1"/>
      <w:numFmt w:val="lowerRoman"/>
      <w:lvlText w:val="%6."/>
      <w:lvlJc w:val="right"/>
      <w:pPr>
        <w:ind w:left="4320" w:hanging="180"/>
      </w:pPr>
    </w:lvl>
    <w:lvl w:ilvl="6" w:tplc="EFA07010" w:tentative="1">
      <w:start w:val="1"/>
      <w:numFmt w:val="decimal"/>
      <w:lvlText w:val="%7."/>
      <w:lvlJc w:val="left"/>
      <w:pPr>
        <w:ind w:left="5040" w:hanging="360"/>
      </w:pPr>
    </w:lvl>
    <w:lvl w:ilvl="7" w:tplc="7D280A28" w:tentative="1">
      <w:start w:val="1"/>
      <w:numFmt w:val="lowerLetter"/>
      <w:lvlText w:val="%8."/>
      <w:lvlJc w:val="left"/>
      <w:pPr>
        <w:ind w:left="5760" w:hanging="360"/>
      </w:pPr>
    </w:lvl>
    <w:lvl w:ilvl="8" w:tplc="FAEAA89E" w:tentative="1">
      <w:start w:val="1"/>
      <w:numFmt w:val="lowerRoman"/>
      <w:lvlText w:val="%9."/>
      <w:lvlJc w:val="right"/>
      <w:pPr>
        <w:ind w:left="6480" w:hanging="180"/>
      </w:pPr>
    </w:lvl>
  </w:abstractNum>
  <w:abstractNum w:abstractNumId="14" w15:restartNumberingAfterBreak="0">
    <w:nsid w:val="2BBC0C92"/>
    <w:multiLevelType w:val="hybridMultilevel"/>
    <w:tmpl w:val="6D0E0CBE"/>
    <w:lvl w:ilvl="0" w:tplc="CFA0D980">
      <w:start w:val="1"/>
      <w:numFmt w:val="decimal"/>
      <w:lvlText w:val="%1."/>
      <w:lvlJc w:val="left"/>
      <w:pPr>
        <w:ind w:left="720" w:hanging="360"/>
      </w:pPr>
      <w:rPr>
        <w:rFonts w:hint="default"/>
        <w:sz w:val="28"/>
      </w:rPr>
    </w:lvl>
    <w:lvl w:ilvl="1" w:tplc="B03C6EC6" w:tentative="1">
      <w:start w:val="1"/>
      <w:numFmt w:val="lowerLetter"/>
      <w:lvlText w:val="%2."/>
      <w:lvlJc w:val="left"/>
      <w:pPr>
        <w:ind w:left="1440" w:hanging="360"/>
      </w:pPr>
    </w:lvl>
    <w:lvl w:ilvl="2" w:tplc="0CF46E2A" w:tentative="1">
      <w:start w:val="1"/>
      <w:numFmt w:val="lowerRoman"/>
      <w:lvlText w:val="%3."/>
      <w:lvlJc w:val="right"/>
      <w:pPr>
        <w:ind w:left="2160" w:hanging="180"/>
      </w:pPr>
    </w:lvl>
    <w:lvl w:ilvl="3" w:tplc="CF7EA0E6" w:tentative="1">
      <w:start w:val="1"/>
      <w:numFmt w:val="decimal"/>
      <w:lvlText w:val="%4."/>
      <w:lvlJc w:val="left"/>
      <w:pPr>
        <w:ind w:left="2880" w:hanging="360"/>
      </w:pPr>
    </w:lvl>
    <w:lvl w:ilvl="4" w:tplc="485C6DF4" w:tentative="1">
      <w:start w:val="1"/>
      <w:numFmt w:val="lowerLetter"/>
      <w:lvlText w:val="%5."/>
      <w:lvlJc w:val="left"/>
      <w:pPr>
        <w:ind w:left="3600" w:hanging="360"/>
      </w:pPr>
    </w:lvl>
    <w:lvl w:ilvl="5" w:tplc="B992BEC6" w:tentative="1">
      <w:start w:val="1"/>
      <w:numFmt w:val="lowerRoman"/>
      <w:lvlText w:val="%6."/>
      <w:lvlJc w:val="right"/>
      <w:pPr>
        <w:ind w:left="4320" w:hanging="180"/>
      </w:pPr>
    </w:lvl>
    <w:lvl w:ilvl="6" w:tplc="2E389D84" w:tentative="1">
      <w:start w:val="1"/>
      <w:numFmt w:val="decimal"/>
      <w:lvlText w:val="%7."/>
      <w:lvlJc w:val="left"/>
      <w:pPr>
        <w:ind w:left="5040" w:hanging="360"/>
      </w:pPr>
    </w:lvl>
    <w:lvl w:ilvl="7" w:tplc="39DAD1D8" w:tentative="1">
      <w:start w:val="1"/>
      <w:numFmt w:val="lowerLetter"/>
      <w:lvlText w:val="%8."/>
      <w:lvlJc w:val="left"/>
      <w:pPr>
        <w:ind w:left="5760" w:hanging="360"/>
      </w:pPr>
    </w:lvl>
    <w:lvl w:ilvl="8" w:tplc="060AEB24" w:tentative="1">
      <w:start w:val="1"/>
      <w:numFmt w:val="lowerRoman"/>
      <w:lvlText w:val="%9."/>
      <w:lvlJc w:val="right"/>
      <w:pPr>
        <w:ind w:left="6480" w:hanging="180"/>
      </w:pPr>
    </w:lvl>
  </w:abstractNum>
  <w:abstractNum w:abstractNumId="15" w15:restartNumberingAfterBreak="0">
    <w:nsid w:val="3D5761DD"/>
    <w:multiLevelType w:val="multilevel"/>
    <w:tmpl w:val="6DE8D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573716"/>
    <w:multiLevelType w:val="multilevel"/>
    <w:tmpl w:val="2F869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E641FA9"/>
    <w:multiLevelType w:val="hybridMultilevel"/>
    <w:tmpl w:val="78AA97A4"/>
    <w:lvl w:ilvl="0" w:tplc="FD900026">
      <w:numFmt w:val="bullet"/>
      <w:lvlText w:val="-"/>
      <w:lvlJc w:val="left"/>
      <w:pPr>
        <w:ind w:left="720" w:hanging="360"/>
      </w:pPr>
      <w:rPr>
        <w:rFonts w:ascii="Century" w:eastAsia="Times New Roman" w:hAnsi="Century" w:cs="FrankRuehl" w:hint="default"/>
      </w:rPr>
    </w:lvl>
    <w:lvl w:ilvl="1" w:tplc="EE0CFEA0" w:tentative="1">
      <w:start w:val="1"/>
      <w:numFmt w:val="bullet"/>
      <w:lvlText w:val="o"/>
      <w:lvlJc w:val="left"/>
      <w:pPr>
        <w:ind w:left="1440" w:hanging="360"/>
      </w:pPr>
      <w:rPr>
        <w:rFonts w:ascii="Courier New" w:hAnsi="Courier New" w:cs="Courier New" w:hint="default"/>
      </w:rPr>
    </w:lvl>
    <w:lvl w:ilvl="2" w:tplc="E668E02C" w:tentative="1">
      <w:start w:val="1"/>
      <w:numFmt w:val="bullet"/>
      <w:lvlText w:val=""/>
      <w:lvlJc w:val="left"/>
      <w:pPr>
        <w:ind w:left="2160" w:hanging="360"/>
      </w:pPr>
      <w:rPr>
        <w:rFonts w:ascii="Wingdings" w:hAnsi="Wingdings" w:hint="default"/>
      </w:rPr>
    </w:lvl>
    <w:lvl w:ilvl="3" w:tplc="8FEE2278" w:tentative="1">
      <w:start w:val="1"/>
      <w:numFmt w:val="bullet"/>
      <w:lvlText w:val=""/>
      <w:lvlJc w:val="left"/>
      <w:pPr>
        <w:ind w:left="2880" w:hanging="360"/>
      </w:pPr>
      <w:rPr>
        <w:rFonts w:ascii="Symbol" w:hAnsi="Symbol" w:hint="default"/>
      </w:rPr>
    </w:lvl>
    <w:lvl w:ilvl="4" w:tplc="C3229D5C" w:tentative="1">
      <w:start w:val="1"/>
      <w:numFmt w:val="bullet"/>
      <w:lvlText w:val="o"/>
      <w:lvlJc w:val="left"/>
      <w:pPr>
        <w:ind w:left="3600" w:hanging="360"/>
      </w:pPr>
      <w:rPr>
        <w:rFonts w:ascii="Courier New" w:hAnsi="Courier New" w:cs="Courier New" w:hint="default"/>
      </w:rPr>
    </w:lvl>
    <w:lvl w:ilvl="5" w:tplc="38AEC418" w:tentative="1">
      <w:start w:val="1"/>
      <w:numFmt w:val="bullet"/>
      <w:lvlText w:val=""/>
      <w:lvlJc w:val="left"/>
      <w:pPr>
        <w:ind w:left="4320" w:hanging="360"/>
      </w:pPr>
      <w:rPr>
        <w:rFonts w:ascii="Wingdings" w:hAnsi="Wingdings" w:hint="default"/>
      </w:rPr>
    </w:lvl>
    <w:lvl w:ilvl="6" w:tplc="496AF556" w:tentative="1">
      <w:start w:val="1"/>
      <w:numFmt w:val="bullet"/>
      <w:lvlText w:val=""/>
      <w:lvlJc w:val="left"/>
      <w:pPr>
        <w:ind w:left="5040" w:hanging="360"/>
      </w:pPr>
      <w:rPr>
        <w:rFonts w:ascii="Symbol" w:hAnsi="Symbol" w:hint="default"/>
      </w:rPr>
    </w:lvl>
    <w:lvl w:ilvl="7" w:tplc="8754213E" w:tentative="1">
      <w:start w:val="1"/>
      <w:numFmt w:val="bullet"/>
      <w:lvlText w:val="o"/>
      <w:lvlJc w:val="left"/>
      <w:pPr>
        <w:ind w:left="5760" w:hanging="360"/>
      </w:pPr>
      <w:rPr>
        <w:rFonts w:ascii="Courier New" w:hAnsi="Courier New" w:cs="Courier New" w:hint="default"/>
      </w:rPr>
    </w:lvl>
    <w:lvl w:ilvl="8" w:tplc="C64E56B2" w:tentative="1">
      <w:start w:val="1"/>
      <w:numFmt w:val="bullet"/>
      <w:lvlText w:val=""/>
      <w:lvlJc w:val="left"/>
      <w:pPr>
        <w:ind w:left="6480" w:hanging="360"/>
      </w:pPr>
      <w:rPr>
        <w:rFonts w:ascii="Wingdings" w:hAnsi="Wingdings" w:hint="default"/>
      </w:rPr>
    </w:lvl>
  </w:abstractNum>
  <w:abstractNum w:abstractNumId="18" w15:restartNumberingAfterBreak="0">
    <w:nsid w:val="4FE70B62"/>
    <w:multiLevelType w:val="hybridMultilevel"/>
    <w:tmpl w:val="ADA8711E"/>
    <w:lvl w:ilvl="0" w:tplc="8C143CF2">
      <w:start w:val="1"/>
      <w:numFmt w:val="hebrew1"/>
      <w:pStyle w:val="Ruller40"/>
      <w:lvlText w:val="%1."/>
      <w:lvlJc w:val="left"/>
      <w:pPr>
        <w:tabs>
          <w:tab w:val="num" w:pos="907"/>
        </w:tabs>
        <w:ind w:left="0" w:firstLine="0"/>
      </w:pPr>
      <w:rPr>
        <w:rFonts w:hint="default"/>
      </w:rPr>
    </w:lvl>
    <w:lvl w:ilvl="1" w:tplc="8960BD88" w:tentative="1">
      <w:start w:val="1"/>
      <w:numFmt w:val="lowerLetter"/>
      <w:lvlText w:val="%2."/>
      <w:lvlJc w:val="left"/>
      <w:pPr>
        <w:tabs>
          <w:tab w:val="num" w:pos="1440"/>
        </w:tabs>
        <w:ind w:left="1440" w:hanging="360"/>
      </w:pPr>
    </w:lvl>
    <w:lvl w:ilvl="2" w:tplc="A4BE9FE4" w:tentative="1">
      <w:start w:val="1"/>
      <w:numFmt w:val="lowerRoman"/>
      <w:lvlText w:val="%3."/>
      <w:lvlJc w:val="right"/>
      <w:pPr>
        <w:tabs>
          <w:tab w:val="num" w:pos="2160"/>
        </w:tabs>
        <w:ind w:left="2160" w:hanging="180"/>
      </w:pPr>
    </w:lvl>
    <w:lvl w:ilvl="3" w:tplc="7AB2A36E" w:tentative="1">
      <w:start w:val="1"/>
      <w:numFmt w:val="decimal"/>
      <w:lvlText w:val="%4."/>
      <w:lvlJc w:val="left"/>
      <w:pPr>
        <w:tabs>
          <w:tab w:val="num" w:pos="2880"/>
        </w:tabs>
        <w:ind w:left="2880" w:hanging="360"/>
      </w:pPr>
    </w:lvl>
    <w:lvl w:ilvl="4" w:tplc="3D044550" w:tentative="1">
      <w:start w:val="1"/>
      <w:numFmt w:val="lowerLetter"/>
      <w:lvlText w:val="%5."/>
      <w:lvlJc w:val="left"/>
      <w:pPr>
        <w:tabs>
          <w:tab w:val="num" w:pos="3600"/>
        </w:tabs>
        <w:ind w:left="3600" w:hanging="360"/>
      </w:pPr>
    </w:lvl>
    <w:lvl w:ilvl="5" w:tplc="8E3AB9FC" w:tentative="1">
      <w:start w:val="1"/>
      <w:numFmt w:val="lowerRoman"/>
      <w:lvlText w:val="%6."/>
      <w:lvlJc w:val="right"/>
      <w:pPr>
        <w:tabs>
          <w:tab w:val="num" w:pos="4320"/>
        </w:tabs>
        <w:ind w:left="4320" w:hanging="180"/>
      </w:pPr>
    </w:lvl>
    <w:lvl w:ilvl="6" w:tplc="897E2396" w:tentative="1">
      <w:start w:val="1"/>
      <w:numFmt w:val="decimal"/>
      <w:lvlText w:val="%7."/>
      <w:lvlJc w:val="left"/>
      <w:pPr>
        <w:tabs>
          <w:tab w:val="num" w:pos="5040"/>
        </w:tabs>
        <w:ind w:left="5040" w:hanging="360"/>
      </w:pPr>
    </w:lvl>
    <w:lvl w:ilvl="7" w:tplc="7C94DBD0" w:tentative="1">
      <w:start w:val="1"/>
      <w:numFmt w:val="lowerLetter"/>
      <w:lvlText w:val="%8."/>
      <w:lvlJc w:val="left"/>
      <w:pPr>
        <w:tabs>
          <w:tab w:val="num" w:pos="5760"/>
        </w:tabs>
        <w:ind w:left="5760" w:hanging="360"/>
      </w:pPr>
    </w:lvl>
    <w:lvl w:ilvl="8" w:tplc="40266140" w:tentative="1">
      <w:start w:val="1"/>
      <w:numFmt w:val="lowerRoman"/>
      <w:lvlText w:val="%9."/>
      <w:lvlJc w:val="right"/>
      <w:pPr>
        <w:tabs>
          <w:tab w:val="num" w:pos="6480"/>
        </w:tabs>
        <w:ind w:left="6480" w:hanging="180"/>
      </w:pPr>
    </w:lvl>
  </w:abstractNum>
  <w:abstractNum w:abstractNumId="19" w15:restartNumberingAfterBreak="0">
    <w:nsid w:val="51DB0346"/>
    <w:multiLevelType w:val="hybridMultilevel"/>
    <w:tmpl w:val="4D9CD9CC"/>
    <w:lvl w:ilvl="0" w:tplc="C10A4574">
      <w:start w:val="1"/>
      <w:numFmt w:val="decimal"/>
      <w:lvlText w:val="%1."/>
      <w:lvlJc w:val="left"/>
      <w:pPr>
        <w:ind w:left="1155" w:hanging="795"/>
      </w:pPr>
      <w:rPr>
        <w:rFonts w:hint="default"/>
      </w:rPr>
    </w:lvl>
    <w:lvl w:ilvl="1" w:tplc="CD3C0FB4" w:tentative="1">
      <w:start w:val="1"/>
      <w:numFmt w:val="lowerLetter"/>
      <w:lvlText w:val="%2."/>
      <w:lvlJc w:val="left"/>
      <w:pPr>
        <w:ind w:left="1440" w:hanging="360"/>
      </w:pPr>
    </w:lvl>
    <w:lvl w:ilvl="2" w:tplc="BDB42BF4" w:tentative="1">
      <w:start w:val="1"/>
      <w:numFmt w:val="lowerRoman"/>
      <w:lvlText w:val="%3."/>
      <w:lvlJc w:val="right"/>
      <w:pPr>
        <w:ind w:left="2160" w:hanging="180"/>
      </w:pPr>
    </w:lvl>
    <w:lvl w:ilvl="3" w:tplc="89B0CDD2" w:tentative="1">
      <w:start w:val="1"/>
      <w:numFmt w:val="decimal"/>
      <w:lvlText w:val="%4."/>
      <w:lvlJc w:val="left"/>
      <w:pPr>
        <w:ind w:left="2880" w:hanging="360"/>
      </w:pPr>
    </w:lvl>
    <w:lvl w:ilvl="4" w:tplc="68B2FCE4" w:tentative="1">
      <w:start w:val="1"/>
      <w:numFmt w:val="lowerLetter"/>
      <w:lvlText w:val="%5."/>
      <w:lvlJc w:val="left"/>
      <w:pPr>
        <w:ind w:left="3600" w:hanging="360"/>
      </w:pPr>
    </w:lvl>
    <w:lvl w:ilvl="5" w:tplc="3D22CF5A" w:tentative="1">
      <w:start w:val="1"/>
      <w:numFmt w:val="lowerRoman"/>
      <w:lvlText w:val="%6."/>
      <w:lvlJc w:val="right"/>
      <w:pPr>
        <w:ind w:left="4320" w:hanging="180"/>
      </w:pPr>
    </w:lvl>
    <w:lvl w:ilvl="6" w:tplc="4154AD28" w:tentative="1">
      <w:start w:val="1"/>
      <w:numFmt w:val="decimal"/>
      <w:lvlText w:val="%7."/>
      <w:lvlJc w:val="left"/>
      <w:pPr>
        <w:ind w:left="5040" w:hanging="360"/>
      </w:pPr>
    </w:lvl>
    <w:lvl w:ilvl="7" w:tplc="7D6E70DC" w:tentative="1">
      <w:start w:val="1"/>
      <w:numFmt w:val="lowerLetter"/>
      <w:lvlText w:val="%8."/>
      <w:lvlJc w:val="left"/>
      <w:pPr>
        <w:ind w:left="5760" w:hanging="360"/>
      </w:pPr>
    </w:lvl>
    <w:lvl w:ilvl="8" w:tplc="095A31EA" w:tentative="1">
      <w:start w:val="1"/>
      <w:numFmt w:val="lowerRoman"/>
      <w:lvlText w:val="%9."/>
      <w:lvlJc w:val="right"/>
      <w:pPr>
        <w:ind w:left="6480" w:hanging="180"/>
      </w:pPr>
    </w:lvl>
  </w:abstractNum>
  <w:abstractNum w:abstractNumId="20" w15:restartNumberingAfterBreak="0">
    <w:nsid w:val="609E4856"/>
    <w:multiLevelType w:val="hybridMultilevel"/>
    <w:tmpl w:val="A3C89F4A"/>
    <w:lvl w:ilvl="0" w:tplc="6D0266B4">
      <w:start w:val="1"/>
      <w:numFmt w:val="decimal"/>
      <w:lvlText w:val="%1."/>
      <w:lvlJc w:val="left"/>
      <w:pPr>
        <w:ind w:left="720" w:hanging="360"/>
      </w:pPr>
      <w:rPr>
        <w:rFonts w:ascii="FrankRuehl" w:hAnsi="FrankRuehl" w:hint="default"/>
      </w:rPr>
    </w:lvl>
    <w:lvl w:ilvl="1" w:tplc="76F4D526" w:tentative="1">
      <w:start w:val="1"/>
      <w:numFmt w:val="lowerLetter"/>
      <w:lvlText w:val="%2."/>
      <w:lvlJc w:val="left"/>
      <w:pPr>
        <w:ind w:left="1440" w:hanging="360"/>
      </w:pPr>
    </w:lvl>
    <w:lvl w:ilvl="2" w:tplc="CB92420A" w:tentative="1">
      <w:start w:val="1"/>
      <w:numFmt w:val="lowerRoman"/>
      <w:lvlText w:val="%3."/>
      <w:lvlJc w:val="right"/>
      <w:pPr>
        <w:ind w:left="2160" w:hanging="180"/>
      </w:pPr>
    </w:lvl>
    <w:lvl w:ilvl="3" w:tplc="D91240F2" w:tentative="1">
      <w:start w:val="1"/>
      <w:numFmt w:val="decimal"/>
      <w:lvlText w:val="%4."/>
      <w:lvlJc w:val="left"/>
      <w:pPr>
        <w:ind w:left="2880" w:hanging="360"/>
      </w:pPr>
    </w:lvl>
    <w:lvl w:ilvl="4" w:tplc="F6D4EE14" w:tentative="1">
      <w:start w:val="1"/>
      <w:numFmt w:val="lowerLetter"/>
      <w:lvlText w:val="%5."/>
      <w:lvlJc w:val="left"/>
      <w:pPr>
        <w:ind w:left="3600" w:hanging="360"/>
      </w:pPr>
    </w:lvl>
    <w:lvl w:ilvl="5" w:tplc="00DA1BCE" w:tentative="1">
      <w:start w:val="1"/>
      <w:numFmt w:val="lowerRoman"/>
      <w:lvlText w:val="%6."/>
      <w:lvlJc w:val="right"/>
      <w:pPr>
        <w:ind w:left="4320" w:hanging="180"/>
      </w:pPr>
    </w:lvl>
    <w:lvl w:ilvl="6" w:tplc="2D4AF174" w:tentative="1">
      <w:start w:val="1"/>
      <w:numFmt w:val="decimal"/>
      <w:lvlText w:val="%7."/>
      <w:lvlJc w:val="left"/>
      <w:pPr>
        <w:ind w:left="5040" w:hanging="360"/>
      </w:pPr>
    </w:lvl>
    <w:lvl w:ilvl="7" w:tplc="8272F5D0" w:tentative="1">
      <w:start w:val="1"/>
      <w:numFmt w:val="lowerLetter"/>
      <w:lvlText w:val="%8."/>
      <w:lvlJc w:val="left"/>
      <w:pPr>
        <w:ind w:left="5760" w:hanging="360"/>
      </w:pPr>
    </w:lvl>
    <w:lvl w:ilvl="8" w:tplc="CE1230F2" w:tentative="1">
      <w:start w:val="1"/>
      <w:numFmt w:val="lowerRoman"/>
      <w:lvlText w:val="%9."/>
      <w:lvlJc w:val="right"/>
      <w:pPr>
        <w:ind w:left="6480" w:hanging="180"/>
      </w:pPr>
    </w:lvl>
  </w:abstractNum>
  <w:abstractNum w:abstractNumId="21" w15:restartNumberingAfterBreak="0">
    <w:nsid w:val="64C7695A"/>
    <w:multiLevelType w:val="multilevel"/>
    <w:tmpl w:val="F89C0D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8"/>
  </w:num>
  <w:num w:numId="13">
    <w:abstractNumId w:val="15"/>
  </w:num>
  <w:num w:numId="14">
    <w:abstractNumId w:val="13"/>
  </w:num>
  <w:num w:numId="15">
    <w:abstractNumId w:val="12"/>
  </w:num>
  <w:num w:numId="16">
    <w:abstractNumId w:val="14"/>
  </w:num>
  <w:num w:numId="17">
    <w:abstractNumId w:val="20"/>
  </w:num>
  <w:num w:numId="18">
    <w:abstractNumId w:val="19"/>
  </w:num>
  <w:num w:numId="19">
    <w:abstractNumId w:val="21"/>
  </w:num>
  <w:num w:numId="20">
    <w:abstractNumId w:val="17"/>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55079"/>
    <w:rsid w:val="000725F5"/>
    <w:rsid w:val="00072AD2"/>
    <w:rsid w:val="000B1478"/>
    <w:rsid w:val="000B4116"/>
    <w:rsid w:val="000C4690"/>
    <w:rsid w:val="000D13E0"/>
    <w:rsid w:val="000D25C4"/>
    <w:rsid w:val="00127F94"/>
    <w:rsid w:val="00134A67"/>
    <w:rsid w:val="001A0164"/>
    <w:rsid w:val="00200D6B"/>
    <w:rsid w:val="00202165"/>
    <w:rsid w:val="00234F26"/>
    <w:rsid w:val="0024701D"/>
    <w:rsid w:val="00265F6E"/>
    <w:rsid w:val="002876BF"/>
    <w:rsid w:val="002A4A7A"/>
    <w:rsid w:val="002A4BF3"/>
    <w:rsid w:val="002F7BB6"/>
    <w:rsid w:val="003448B2"/>
    <w:rsid w:val="00361DB2"/>
    <w:rsid w:val="0037622E"/>
    <w:rsid w:val="00377102"/>
    <w:rsid w:val="0039709B"/>
    <w:rsid w:val="003D72DA"/>
    <w:rsid w:val="003F1F97"/>
    <w:rsid w:val="0041048F"/>
    <w:rsid w:val="004121B6"/>
    <w:rsid w:val="00437D59"/>
    <w:rsid w:val="004610A4"/>
    <w:rsid w:val="00472D93"/>
    <w:rsid w:val="00481E80"/>
    <w:rsid w:val="004B29FF"/>
    <w:rsid w:val="004C7868"/>
    <w:rsid w:val="00503A3E"/>
    <w:rsid w:val="00527F02"/>
    <w:rsid w:val="00540EE0"/>
    <w:rsid w:val="005803E2"/>
    <w:rsid w:val="0058440A"/>
    <w:rsid w:val="00591983"/>
    <w:rsid w:val="006042C9"/>
    <w:rsid w:val="00612AF2"/>
    <w:rsid w:val="00624A42"/>
    <w:rsid w:val="0065522F"/>
    <w:rsid w:val="00655671"/>
    <w:rsid w:val="0068469D"/>
    <w:rsid w:val="006A30F7"/>
    <w:rsid w:val="006C42AD"/>
    <w:rsid w:val="006E4A5B"/>
    <w:rsid w:val="00725345"/>
    <w:rsid w:val="00741CC0"/>
    <w:rsid w:val="007B512F"/>
    <w:rsid w:val="007C3DF4"/>
    <w:rsid w:val="007F7512"/>
    <w:rsid w:val="00810894"/>
    <w:rsid w:val="008143AB"/>
    <w:rsid w:val="0083345F"/>
    <w:rsid w:val="00836667"/>
    <w:rsid w:val="00866D0F"/>
    <w:rsid w:val="008C2F11"/>
    <w:rsid w:val="008D78B9"/>
    <w:rsid w:val="008E3F85"/>
    <w:rsid w:val="009051E8"/>
    <w:rsid w:val="00914156"/>
    <w:rsid w:val="00916FF8"/>
    <w:rsid w:val="00922093"/>
    <w:rsid w:val="00930C85"/>
    <w:rsid w:val="009B38DA"/>
    <w:rsid w:val="009D4CB6"/>
    <w:rsid w:val="009F2F53"/>
    <w:rsid w:val="009F4187"/>
    <w:rsid w:val="009F7526"/>
    <w:rsid w:val="00A12E0F"/>
    <w:rsid w:val="00A51FAE"/>
    <w:rsid w:val="00A80845"/>
    <w:rsid w:val="00AB69F7"/>
    <w:rsid w:val="00AD097B"/>
    <w:rsid w:val="00AD64B9"/>
    <w:rsid w:val="00AE022B"/>
    <w:rsid w:val="00B009CC"/>
    <w:rsid w:val="00B0782A"/>
    <w:rsid w:val="00B62B8C"/>
    <w:rsid w:val="00B63343"/>
    <w:rsid w:val="00B87FF7"/>
    <w:rsid w:val="00BA0B08"/>
    <w:rsid w:val="00BB045E"/>
    <w:rsid w:val="00BC0E82"/>
    <w:rsid w:val="00BD40F9"/>
    <w:rsid w:val="00BE6FF6"/>
    <w:rsid w:val="00C41C86"/>
    <w:rsid w:val="00C63A6C"/>
    <w:rsid w:val="00C71CAD"/>
    <w:rsid w:val="00CA13AF"/>
    <w:rsid w:val="00CA1444"/>
    <w:rsid w:val="00CB1590"/>
    <w:rsid w:val="00CB7600"/>
    <w:rsid w:val="00CC0E9D"/>
    <w:rsid w:val="00CC3639"/>
    <w:rsid w:val="00CD4E41"/>
    <w:rsid w:val="00D00B1D"/>
    <w:rsid w:val="00D00CB7"/>
    <w:rsid w:val="00D25F16"/>
    <w:rsid w:val="00D7534F"/>
    <w:rsid w:val="00E21CA9"/>
    <w:rsid w:val="00E31063"/>
    <w:rsid w:val="00E36FE9"/>
    <w:rsid w:val="00E73E98"/>
    <w:rsid w:val="00E75223"/>
    <w:rsid w:val="00E8786C"/>
    <w:rsid w:val="00E90D72"/>
    <w:rsid w:val="00EA0BE1"/>
    <w:rsid w:val="00EC23AC"/>
    <w:rsid w:val="00EC2992"/>
    <w:rsid w:val="00ED46A4"/>
    <w:rsid w:val="00ED6FD9"/>
    <w:rsid w:val="00EE3810"/>
    <w:rsid w:val="00F63C3B"/>
    <w:rsid w:val="00F959DB"/>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EEC7F"/>
  <w15:chartTrackingRefBased/>
  <w15:docId w15:val="{8B3D0C43-2B2D-4E52-A2D9-8F814DC4E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a"/>
    <w:next w:val="a"/>
    <w:link w:val="10"/>
    <w:qFormat/>
    <w:rsid w:val="007C3DF4"/>
    <w:pPr>
      <w:keepNext/>
      <w:spacing w:before="240" w:after="60" w:line="360" w:lineRule="auto"/>
      <w:outlineLvl w:val="0"/>
    </w:pPr>
    <w:rPr>
      <w:rFonts w:ascii="Calibri Light" w:hAnsi="Calibri Light" w:cs="Times New Roman"/>
      <w:b/>
      <w:bCs/>
      <w:spacing w:val="10"/>
      <w:kern w:val="32"/>
      <w:sz w:val="32"/>
      <w:szCs w:val="32"/>
    </w:rPr>
  </w:style>
  <w:style w:type="paragraph" w:styleId="2">
    <w:name w:val="heading 2"/>
    <w:basedOn w:val="a"/>
    <w:link w:val="20"/>
    <w:uiPriority w:val="9"/>
    <w:qFormat/>
    <w:rsid w:val="007C3DF4"/>
    <w:pPr>
      <w:overflowPunct/>
      <w:autoSpaceDE/>
      <w:autoSpaceDN/>
      <w:bidi w:val="0"/>
      <w:adjustRightInd/>
      <w:spacing w:before="100" w:beforeAutospacing="1" w:after="100" w:afterAutospacing="1"/>
      <w:textAlignment w:val="auto"/>
      <w:outlineLvl w:val="1"/>
    </w:pPr>
    <w:rPr>
      <w:rFonts w:cs="Times New Roman"/>
      <w:b/>
      <w:bCs/>
      <w:sz w:val="36"/>
      <w:szCs w:val="36"/>
    </w:rPr>
  </w:style>
  <w:style w:type="paragraph" w:styleId="5">
    <w:name w:val="heading 5"/>
    <w:basedOn w:val="a"/>
    <w:next w:val="a"/>
    <w:link w:val="50"/>
    <w:semiHidden/>
    <w:unhideWhenUsed/>
    <w:qFormat/>
    <w:rsid w:val="007C3DF4"/>
    <w:pPr>
      <w:spacing w:before="240" w:after="60" w:line="360" w:lineRule="auto"/>
      <w:outlineLvl w:val="4"/>
    </w:pPr>
    <w:rPr>
      <w:rFonts w:ascii="Calibri" w:hAnsi="Calibri" w:cs="Arial"/>
      <w:b/>
      <w:bCs/>
      <w:i/>
      <w:iCs/>
      <w:spacing w:val="1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link w:val="Ruller50"/>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21">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8">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uiPriority w:val="99"/>
    <w:rsid w:val="0058440A"/>
    <w:rPr>
      <w:color w:val="954F72" w:themeColor="followedHyperlink"/>
      <w:u w:val="single"/>
    </w:rPr>
  </w:style>
  <w:style w:type="character" w:styleId="a9">
    <w:name w:val="annotation reference"/>
    <w:basedOn w:val="a0"/>
    <w:rsid w:val="00D00B1D"/>
    <w:rPr>
      <w:sz w:val="16"/>
      <w:szCs w:val="16"/>
    </w:rPr>
  </w:style>
  <w:style w:type="paragraph" w:styleId="aa">
    <w:name w:val="annotation text"/>
    <w:basedOn w:val="a"/>
    <w:link w:val="ab"/>
    <w:rsid w:val="00D00B1D"/>
    <w:rPr>
      <w:szCs w:val="20"/>
    </w:rPr>
  </w:style>
  <w:style w:type="character" w:customStyle="1" w:styleId="ab">
    <w:name w:val="טקסט הערה תו"/>
    <w:basedOn w:val="a0"/>
    <w:link w:val="aa"/>
    <w:rsid w:val="00D00B1D"/>
    <w:rPr>
      <w:rFonts w:cs="David"/>
    </w:rPr>
  </w:style>
  <w:style w:type="paragraph" w:styleId="ac">
    <w:name w:val="annotation subject"/>
    <w:basedOn w:val="aa"/>
    <w:next w:val="aa"/>
    <w:link w:val="ad"/>
    <w:rsid w:val="00D00B1D"/>
    <w:rPr>
      <w:b/>
      <w:bCs/>
    </w:rPr>
  </w:style>
  <w:style w:type="character" w:customStyle="1" w:styleId="ad">
    <w:name w:val="נושא הערה תו"/>
    <w:basedOn w:val="ab"/>
    <w:link w:val="ac"/>
    <w:rsid w:val="00D00B1D"/>
    <w:rPr>
      <w:rFonts w:cs="David"/>
      <w:b/>
      <w:bCs/>
    </w:rPr>
  </w:style>
  <w:style w:type="paragraph" w:styleId="ae">
    <w:name w:val="Balloon Text"/>
    <w:basedOn w:val="a"/>
    <w:link w:val="af"/>
    <w:rsid w:val="00D00B1D"/>
    <w:rPr>
      <w:rFonts w:ascii="Tahoma" w:hAnsi="Tahoma" w:cs="Tahoma"/>
      <w:sz w:val="18"/>
      <w:szCs w:val="18"/>
    </w:rPr>
  </w:style>
  <w:style w:type="character" w:customStyle="1" w:styleId="af">
    <w:name w:val="טקסט בלונים תו"/>
    <w:basedOn w:val="a0"/>
    <w:link w:val="ae"/>
    <w:rsid w:val="00D00B1D"/>
    <w:rPr>
      <w:rFonts w:ascii="Tahoma" w:hAnsi="Tahoma" w:cs="Tahoma"/>
      <w:sz w:val="18"/>
      <w:szCs w:val="18"/>
    </w:rPr>
  </w:style>
  <w:style w:type="character" w:customStyle="1" w:styleId="10">
    <w:name w:val="כותרת 1 תו"/>
    <w:basedOn w:val="a0"/>
    <w:link w:val="1"/>
    <w:rsid w:val="007C3DF4"/>
    <w:rPr>
      <w:rFonts w:ascii="Calibri Light" w:hAnsi="Calibri Light"/>
      <w:b/>
      <w:bCs/>
      <w:spacing w:val="10"/>
      <w:kern w:val="32"/>
      <w:sz w:val="32"/>
      <w:szCs w:val="32"/>
    </w:rPr>
  </w:style>
  <w:style w:type="character" w:customStyle="1" w:styleId="20">
    <w:name w:val="כותרת 2 תו"/>
    <w:basedOn w:val="a0"/>
    <w:link w:val="2"/>
    <w:uiPriority w:val="9"/>
    <w:rsid w:val="007C3DF4"/>
    <w:rPr>
      <w:b/>
      <w:bCs/>
      <w:sz w:val="36"/>
      <w:szCs w:val="36"/>
    </w:rPr>
  </w:style>
  <w:style w:type="character" w:customStyle="1" w:styleId="50">
    <w:name w:val="כותרת 5 תו"/>
    <w:basedOn w:val="a0"/>
    <w:link w:val="5"/>
    <w:semiHidden/>
    <w:rsid w:val="007C3DF4"/>
    <w:rPr>
      <w:rFonts w:ascii="Calibri" w:hAnsi="Calibri" w:cs="Arial"/>
      <w:b/>
      <w:bCs/>
      <w:i/>
      <w:iCs/>
      <w:spacing w:val="10"/>
      <w:sz w:val="26"/>
      <w:szCs w:val="26"/>
    </w:rPr>
  </w:style>
  <w:style w:type="numbering" w:customStyle="1" w:styleId="11">
    <w:name w:val="ללא רשימה1"/>
    <w:next w:val="a2"/>
    <w:uiPriority w:val="99"/>
    <w:semiHidden/>
    <w:unhideWhenUsed/>
    <w:rsid w:val="007C3DF4"/>
  </w:style>
  <w:style w:type="paragraph" w:customStyle="1" w:styleId="Ruller4">
    <w:name w:val="Ruller 4 ממוספר"/>
    <w:basedOn w:val="Ruller41"/>
    <w:next w:val="Ruller41"/>
    <w:rsid w:val="007C3DF4"/>
    <w:pPr>
      <w:numPr>
        <w:numId w:val="11"/>
      </w:numPr>
    </w:pPr>
    <w:rPr>
      <w:rFonts w:ascii="Garamond" w:hAnsi="Garamond"/>
      <w:sz w:val="24"/>
    </w:rPr>
  </w:style>
  <w:style w:type="paragraph" w:customStyle="1" w:styleId="Ruller40">
    <w:name w:val="Ruller4 אלפביתי"/>
    <w:basedOn w:val="Ruller41"/>
    <w:next w:val="Ruller41"/>
    <w:rsid w:val="007C3DF4"/>
    <w:pPr>
      <w:numPr>
        <w:numId w:val="12"/>
      </w:numPr>
    </w:pPr>
  </w:style>
  <w:style w:type="character" w:customStyle="1" w:styleId="Ruller42">
    <w:name w:val="Ruller4 תו"/>
    <w:link w:val="Ruller41"/>
    <w:locked/>
    <w:rsid w:val="007C3DF4"/>
    <w:rPr>
      <w:rFonts w:ascii="Arial TUR" w:hAnsi="Arial TUR" w:cs="FrankRuehl"/>
      <w:spacing w:val="10"/>
      <w:sz w:val="22"/>
      <w:szCs w:val="28"/>
    </w:rPr>
  </w:style>
  <w:style w:type="paragraph" w:customStyle="1" w:styleId="big-header">
    <w:name w:val="big-header"/>
    <w:basedOn w:val="a"/>
    <w:rsid w:val="007C3DF4"/>
    <w:pPr>
      <w:keepNext/>
      <w:keepLines/>
      <w:widowControl w:val="0"/>
      <w:tabs>
        <w:tab w:val="left" w:pos="624"/>
        <w:tab w:val="left" w:pos="1021"/>
        <w:tab w:val="left" w:pos="1474"/>
        <w:tab w:val="left" w:pos="1928"/>
        <w:tab w:val="left" w:pos="2381"/>
        <w:tab w:val="left" w:pos="2835"/>
      </w:tabs>
      <w:suppressAutoHyphens/>
      <w:overflowPunct/>
      <w:adjustRightInd/>
      <w:spacing w:before="440" w:after="120" w:line="360" w:lineRule="auto"/>
      <w:ind w:left="2835"/>
      <w:jc w:val="center"/>
      <w:textAlignment w:val="auto"/>
    </w:pPr>
    <w:rPr>
      <w:noProof/>
      <w:szCs w:val="32"/>
      <w:lang w:eastAsia="he-IL"/>
    </w:rPr>
  </w:style>
  <w:style w:type="paragraph" w:customStyle="1" w:styleId="filenumber00">
    <w:name w:val="filenumber0"/>
    <w:basedOn w:val="a"/>
    <w:rsid w:val="007C3DF4"/>
    <w:pPr>
      <w:adjustRightInd/>
      <w:spacing w:line="360" w:lineRule="auto"/>
      <w:textAlignment w:val="auto"/>
    </w:pPr>
    <w:rPr>
      <w:rFonts w:cs="Times New Roman"/>
      <w:szCs w:val="20"/>
    </w:rPr>
  </w:style>
  <w:style w:type="paragraph" w:styleId="af0">
    <w:name w:val="footnote text"/>
    <w:basedOn w:val="a"/>
    <w:link w:val="af1"/>
    <w:unhideWhenUsed/>
    <w:rsid w:val="007C3DF4"/>
    <w:pPr>
      <w:spacing w:line="360" w:lineRule="auto"/>
    </w:pPr>
    <w:rPr>
      <w:rFonts w:ascii="Century" w:hAnsi="Century" w:cs="FrankRuehl"/>
      <w:spacing w:val="10"/>
      <w:szCs w:val="20"/>
    </w:rPr>
  </w:style>
  <w:style w:type="character" w:customStyle="1" w:styleId="af1">
    <w:name w:val="טקסט הערת שוליים תו"/>
    <w:basedOn w:val="a0"/>
    <w:link w:val="af0"/>
    <w:rsid w:val="007C3DF4"/>
    <w:rPr>
      <w:rFonts w:ascii="Century" w:hAnsi="Century" w:cs="FrankRuehl"/>
      <w:spacing w:val="10"/>
    </w:rPr>
  </w:style>
  <w:style w:type="character" w:styleId="af2">
    <w:name w:val="footnote reference"/>
    <w:unhideWhenUsed/>
    <w:rsid w:val="007C3DF4"/>
    <w:rPr>
      <w:vertAlign w:val="superscript"/>
    </w:rPr>
  </w:style>
  <w:style w:type="character" w:customStyle="1" w:styleId="notbold1">
    <w:name w:val="notbold1"/>
    <w:rsid w:val="007C3DF4"/>
  </w:style>
  <w:style w:type="character" w:customStyle="1" w:styleId="default">
    <w:name w:val="default"/>
    <w:rsid w:val="007C3DF4"/>
  </w:style>
  <w:style w:type="character" w:customStyle="1" w:styleId="big-number">
    <w:name w:val="big-number"/>
    <w:rsid w:val="007C3DF4"/>
  </w:style>
  <w:style w:type="character" w:customStyle="1" w:styleId="a7">
    <w:name w:val="כותרת עליונה תו"/>
    <w:link w:val="a6"/>
    <w:rsid w:val="007C3DF4"/>
    <w:rPr>
      <w:rFonts w:cs="David"/>
      <w:szCs w:val="24"/>
    </w:rPr>
  </w:style>
  <w:style w:type="paragraph" w:customStyle="1" w:styleId="p00">
    <w:name w:val="p00"/>
    <w:basedOn w:val="a"/>
    <w:rsid w:val="007C3DF4"/>
    <w:pPr>
      <w:overflowPunct/>
      <w:autoSpaceDE/>
      <w:autoSpaceDN/>
      <w:bidi w:val="0"/>
      <w:adjustRightInd/>
      <w:spacing w:before="100" w:beforeAutospacing="1" w:after="100" w:afterAutospacing="1"/>
      <w:textAlignment w:val="auto"/>
    </w:pPr>
    <w:rPr>
      <w:rFonts w:cs="Times New Roman"/>
      <w:sz w:val="24"/>
    </w:rPr>
  </w:style>
  <w:style w:type="paragraph" w:customStyle="1" w:styleId="ruller400">
    <w:name w:val="ruller40"/>
    <w:basedOn w:val="a"/>
    <w:rsid w:val="007C3DF4"/>
    <w:pPr>
      <w:overflowPunct/>
      <w:autoSpaceDE/>
      <w:autoSpaceDN/>
      <w:bidi w:val="0"/>
      <w:adjustRightInd/>
      <w:spacing w:before="100" w:beforeAutospacing="1" w:after="100" w:afterAutospacing="1"/>
      <w:textAlignment w:val="auto"/>
    </w:pPr>
    <w:rPr>
      <w:rFonts w:cs="Times New Roman"/>
      <w:sz w:val="24"/>
    </w:rPr>
  </w:style>
  <w:style w:type="character" w:customStyle="1" w:styleId="Ruller50">
    <w:name w:val="Ruller5 תו"/>
    <w:link w:val="Ruller5"/>
    <w:locked/>
    <w:rsid w:val="007C3DF4"/>
    <w:rPr>
      <w:rFonts w:ascii="Arial TUR" w:hAnsi="Arial TUR" w:cs="FrankRuehl"/>
      <w:spacing w:val="10"/>
      <w:sz w:val="22"/>
      <w:szCs w:val="28"/>
    </w:rPr>
  </w:style>
  <w:style w:type="paragraph" w:styleId="NormalWeb">
    <w:name w:val="Normal (Web)"/>
    <w:basedOn w:val="a"/>
    <w:uiPriority w:val="99"/>
    <w:unhideWhenUsed/>
    <w:rsid w:val="007C3DF4"/>
    <w:pPr>
      <w:overflowPunct/>
      <w:autoSpaceDE/>
      <w:autoSpaceDN/>
      <w:bidi w:val="0"/>
      <w:adjustRightInd/>
      <w:spacing w:before="100" w:beforeAutospacing="1" w:after="100" w:afterAutospacing="1"/>
      <w:textAlignment w:val="auto"/>
    </w:pPr>
    <w:rPr>
      <w:rFonts w:cs="Times New Roman"/>
      <w:sz w:val="24"/>
    </w:rPr>
  </w:style>
  <w:style w:type="character" w:customStyle="1" w:styleId="12">
    <w:name w:val="כותרת עליונה תו1"/>
    <w:rsid w:val="007C3DF4"/>
    <w:rPr>
      <w:rFonts w:cs="David"/>
      <w:szCs w:val="24"/>
    </w:rPr>
  </w:style>
  <w:style w:type="paragraph" w:customStyle="1" w:styleId="ruller43">
    <w:name w:val="ruller4"/>
    <w:basedOn w:val="a"/>
    <w:rsid w:val="007C3DF4"/>
    <w:pPr>
      <w:overflowPunct/>
      <w:autoSpaceDE/>
      <w:autoSpaceDN/>
      <w:bidi w:val="0"/>
      <w:adjustRightInd/>
      <w:spacing w:before="100" w:beforeAutospacing="1" w:after="100" w:afterAutospacing="1"/>
      <w:textAlignment w:val="auto"/>
    </w:pPr>
    <w:rPr>
      <w:rFonts w:cs="Times New Roman"/>
      <w:sz w:val="24"/>
    </w:rPr>
  </w:style>
  <w:style w:type="paragraph" w:customStyle="1" w:styleId="a90">
    <w:name w:val="a9"/>
    <w:basedOn w:val="a"/>
    <w:rsid w:val="007C3DF4"/>
    <w:pPr>
      <w:overflowPunct/>
      <w:autoSpaceDE/>
      <w:autoSpaceDN/>
      <w:bidi w:val="0"/>
      <w:adjustRightInd/>
      <w:spacing w:before="100" w:beforeAutospacing="1" w:after="100" w:afterAutospacing="1"/>
      <w:textAlignment w:val="auto"/>
    </w:pPr>
    <w:rPr>
      <w:rFonts w:cs="Times New Roman"/>
      <w:sz w:val="24"/>
    </w:rPr>
  </w:style>
  <w:style w:type="character" w:customStyle="1" w:styleId="hatama">
    <w:name w:val="hatama"/>
    <w:rsid w:val="007C3DF4"/>
  </w:style>
  <w:style w:type="paragraph" w:styleId="af3">
    <w:name w:val="Plain Text"/>
    <w:basedOn w:val="a"/>
    <w:link w:val="af4"/>
    <w:uiPriority w:val="99"/>
    <w:unhideWhenUsed/>
    <w:rsid w:val="007C3DF4"/>
    <w:pPr>
      <w:overflowPunct/>
      <w:autoSpaceDE/>
      <w:autoSpaceDN/>
      <w:bidi w:val="0"/>
      <w:adjustRightInd/>
      <w:spacing w:before="100" w:beforeAutospacing="1" w:after="100" w:afterAutospacing="1"/>
      <w:textAlignment w:val="auto"/>
    </w:pPr>
    <w:rPr>
      <w:rFonts w:cs="Times New Roman"/>
      <w:sz w:val="24"/>
    </w:rPr>
  </w:style>
  <w:style w:type="character" w:customStyle="1" w:styleId="af4">
    <w:name w:val="טקסט רגיל תו"/>
    <w:basedOn w:val="a0"/>
    <w:link w:val="af3"/>
    <w:uiPriority w:val="99"/>
    <w:rsid w:val="007C3DF4"/>
    <w:rPr>
      <w:sz w:val="24"/>
      <w:szCs w:val="24"/>
    </w:rPr>
  </w:style>
  <w:style w:type="character" w:customStyle="1" w:styleId="a4">
    <w:name w:val="כותרת תחתונה תו"/>
    <w:link w:val="a3"/>
    <w:rsid w:val="007C3DF4"/>
    <w:rPr>
      <w:rFonts w:cs="David"/>
      <w:szCs w:val="24"/>
    </w:rPr>
  </w:style>
  <w:style w:type="paragraph" w:styleId="af5">
    <w:name w:val="List Paragraph"/>
    <w:basedOn w:val="a"/>
    <w:uiPriority w:val="34"/>
    <w:qFormat/>
    <w:rsid w:val="007C3DF4"/>
    <w:pPr>
      <w:spacing w:line="360" w:lineRule="auto"/>
      <w:ind w:left="720"/>
      <w:contextualSpacing/>
    </w:pPr>
    <w:rPr>
      <w:rFonts w:ascii="Century" w:hAnsi="Century" w:cs="FrankRuehl"/>
      <w:spacing w:val="10"/>
      <w:szCs w:val="28"/>
    </w:rPr>
  </w:style>
  <w:style w:type="paragraph" w:customStyle="1" w:styleId="4">
    <w:name w:val="סרגל4"/>
    <w:basedOn w:val="a"/>
    <w:rsid w:val="007C3DF4"/>
    <w:pPr>
      <w:tabs>
        <w:tab w:val="left" w:pos="800"/>
      </w:tabs>
      <w:spacing w:line="480" w:lineRule="auto"/>
      <w:jc w:val="both"/>
      <w:textAlignment w:val="auto"/>
    </w:pPr>
    <w:rPr>
      <w:rFonts w:ascii="Arial TUR" w:hAnsi="Arial TUR" w:cs="DavidFix"/>
      <w:sz w:val="22"/>
      <w:szCs w:val="20"/>
      <w:lang w:eastAsia="he-IL"/>
    </w:rPr>
  </w:style>
  <w:style w:type="paragraph" w:customStyle="1" w:styleId="P000">
    <w:name w:val="P00"/>
    <w:link w:val="P001"/>
    <w:rsid w:val="007C3DF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P001">
    <w:name w:val="P00 תו"/>
    <w:link w:val="P000"/>
    <w:rsid w:val="007C3DF4"/>
    <w:rPr>
      <w:noProof/>
      <w:szCs w:val="2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6943</Words>
  <Characters>37079</Characters>
  <Application>Microsoft Office Word</Application>
  <DocSecurity>0</DocSecurity>
  <Lines>975</Lines>
  <Paragraphs>382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43640</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גרמאו מנגיסטו</cp:lastModifiedBy>
  <cp:revision>2</cp:revision>
  <cp:lastPrinted>2024-05-08T09:00:00Z</cp:lastPrinted>
  <dcterms:created xsi:type="dcterms:W3CDTF">2024-05-08T09:08:00Z</dcterms:created>
  <dcterms:modified xsi:type="dcterms:W3CDTF">2024-05-08T09:08:00Z</dcterms:modified>
</cp:coreProperties>
</file>